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0A3113B5" w:rsidR="00D309CC" w:rsidRDefault="00EA5EAF" w:rsidP="00D46431">
      <w:pPr>
        <w:pStyle w:val="CH"/>
      </w:pPr>
      <w:bookmarkStart w:id="0" w:name="historyclause"/>
      <w:r w:rsidRPr="009F0E8D">
        <w:t>3GPP RAN WG4 Meeting #9</w:t>
      </w:r>
      <w:r w:rsidR="00497C4F">
        <w:t>9e</w:t>
      </w:r>
      <w:r w:rsidR="00D309CC">
        <w:tab/>
      </w:r>
      <w:r w:rsidR="00D46431">
        <w:tab/>
      </w:r>
      <w:r w:rsidR="004D4412" w:rsidRPr="004D4412">
        <w:t>R4-2109429</w:t>
      </w:r>
    </w:p>
    <w:p w14:paraId="50DC9730" w14:textId="70096815" w:rsidR="00D309CC" w:rsidRPr="00FD166F" w:rsidRDefault="00EA5EAF" w:rsidP="00D46431">
      <w:pPr>
        <w:pStyle w:val="CH"/>
        <w:tabs>
          <w:tab w:val="clear" w:pos="7920"/>
        </w:tabs>
        <w:rPr>
          <w:b w:val="0"/>
        </w:rPr>
      </w:pPr>
      <w:r w:rsidRPr="005B0B43">
        <w:t xml:space="preserve">Electronic meeting, </w:t>
      </w:r>
      <w:r w:rsidR="00322AC1">
        <w:t>19</w:t>
      </w:r>
      <w:r w:rsidR="00D93B95" w:rsidRPr="00D93B95">
        <w:t xml:space="preserve"> – 2</w:t>
      </w:r>
      <w:r w:rsidR="00322AC1">
        <w:t>7</w:t>
      </w:r>
      <w:r w:rsidR="00D93B95" w:rsidRPr="00D93B95">
        <w:t xml:space="preserve">th </w:t>
      </w:r>
      <w:r w:rsidR="00322AC1">
        <w:t>May</w:t>
      </w:r>
      <w:r w:rsidR="00D93B95" w:rsidRPr="00D93B95">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41195822" w:rsidR="00D309CC" w:rsidRPr="0008103A" w:rsidRDefault="00D309CC" w:rsidP="00D309CC">
      <w:pPr>
        <w:pStyle w:val="CH"/>
        <w:rPr>
          <w:b w:val="0"/>
        </w:rPr>
      </w:pPr>
      <w:r w:rsidRPr="0008103A">
        <w:t>Agenda item:</w:t>
      </w:r>
      <w:r>
        <w:tab/>
      </w:r>
      <w:r w:rsidR="00322AC1">
        <w:t>8.1.1</w:t>
      </w:r>
    </w:p>
    <w:p w14:paraId="4DBE005A" w14:textId="04DF3CC4" w:rsidR="00D309CC" w:rsidRPr="0008103A" w:rsidRDefault="00D309CC" w:rsidP="00704F6E">
      <w:pPr>
        <w:pStyle w:val="CH"/>
        <w:ind w:left="2268" w:hanging="2268"/>
        <w:rPr>
          <w:b w:val="0"/>
        </w:rPr>
      </w:pPr>
      <w:r>
        <w:t>Source:</w:t>
      </w:r>
      <w:r>
        <w:tab/>
        <w:t>Apple</w:t>
      </w:r>
      <w:r w:rsidR="00BD797B">
        <w:t xml:space="preserve">, Facebook, </w:t>
      </w:r>
      <w:r w:rsidR="00704F6E" w:rsidRPr="00704F6E">
        <w:t>Hewlett Packard Enterprise</w:t>
      </w:r>
      <w:r w:rsidR="00BD797B">
        <w:t>, Skyworks Solutions Inc.</w:t>
      </w:r>
    </w:p>
    <w:p w14:paraId="0D2061A1" w14:textId="29EC18F2" w:rsidR="00D309CC" w:rsidRDefault="00D309CC" w:rsidP="00D309CC">
      <w:pPr>
        <w:pStyle w:val="CH"/>
      </w:pPr>
      <w:r w:rsidRPr="0008103A">
        <w:t>Title:</w:t>
      </w:r>
      <w:r w:rsidRPr="0008103A">
        <w:tab/>
      </w:r>
      <w:r w:rsidR="0092797D" w:rsidRPr="0092797D">
        <w:t>Band plan for lower 6GHz NR unlicensed operation in EU/CEPT</w:t>
      </w:r>
    </w:p>
    <w:p w14:paraId="052B1E0C" w14:textId="7C8BFB25" w:rsidR="00104BC6" w:rsidRDefault="00104BC6" w:rsidP="00D309CC">
      <w:pPr>
        <w:pStyle w:val="CH"/>
      </w:pPr>
      <w:r>
        <w:t>WI/SI:</w:t>
      </w:r>
      <w:r>
        <w:tab/>
      </w:r>
      <w:r w:rsidR="00EA5EAF" w:rsidRPr="00EA5EAF">
        <w:t>NR_6GHz_unlic_EU</w:t>
      </w:r>
    </w:p>
    <w:p w14:paraId="6C6D1281" w14:textId="55AA1C00" w:rsidR="00104BC6" w:rsidRDefault="00104BC6" w:rsidP="00D309CC">
      <w:pPr>
        <w:pStyle w:val="CH"/>
        <w:rPr>
          <w:b w:val="0"/>
        </w:rPr>
      </w:pPr>
      <w:r>
        <w:t>Release:</w:t>
      </w:r>
      <w:r>
        <w:tab/>
      </w:r>
      <w:r w:rsidRPr="00EA5EAF">
        <w:t>Rel-</w:t>
      </w:r>
      <w:r w:rsidR="00EA5EAF" w:rsidRPr="00EA5EAF">
        <w:t>17</w:t>
      </w:r>
    </w:p>
    <w:p w14:paraId="2E4E044D" w14:textId="25C01846" w:rsidR="00D309CC" w:rsidRDefault="00D309CC" w:rsidP="00D309CC">
      <w:pPr>
        <w:pStyle w:val="CH"/>
      </w:pPr>
      <w:r>
        <w:t>Document for:</w:t>
      </w:r>
      <w:r>
        <w:tab/>
      </w:r>
      <w:r w:rsidR="00EA5EAF">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8C46278" w14:textId="615B45CA" w:rsidR="008A3B4F"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rsidR="006D2AB3">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t xml:space="preserve">Referring to the latest </w:t>
      </w:r>
      <w:r w:rsidR="008A3B4F">
        <w:t xml:space="preserve">6GHz </w:t>
      </w:r>
      <w:r>
        <w:t>regulatory status update</w:t>
      </w:r>
      <w:r w:rsidR="00760E53">
        <w:t xml:space="preserve"> </w:t>
      </w:r>
      <w:r w:rsidR="00760E53">
        <w:fldChar w:fldCharType="begin"/>
      </w:r>
      <w:r w:rsidR="00760E53">
        <w:instrText xml:space="preserve"> REF _Ref61460191 \r \h </w:instrText>
      </w:r>
      <w:r w:rsidR="00760E53">
        <w:fldChar w:fldCharType="separate"/>
      </w:r>
      <w:r w:rsidR="006D2AB3">
        <w:t>[2]</w:t>
      </w:r>
      <w:r w:rsidR="00760E53">
        <w:fldChar w:fldCharType="end"/>
      </w:r>
      <w:r>
        <w:t xml:space="preserve">, FCC approved license-exempt usage in the frequency range of 5925-7125MHz, which has been already reflected by the corresponding 3GPP band n96. </w:t>
      </w:r>
      <w:r w:rsidR="006175AB">
        <w:t>Several Administrations, such as South Korea and Brazil, have also opened up the whole range to the license-exempt operation. T</w:t>
      </w:r>
      <w:r w:rsidR="003E1D99">
        <w:t xml:space="preserve">he regulatory framework for </w:t>
      </w:r>
      <w:r w:rsidR="002E0796">
        <w:t>the EU/</w:t>
      </w:r>
      <w:r>
        <w:t xml:space="preserve">CEPT countries </w:t>
      </w:r>
      <w:r w:rsidR="003E1D99">
        <w:t xml:space="preserve">was completed in November covering </w:t>
      </w:r>
      <w:r w:rsidR="00E8614A">
        <w:t xml:space="preserve">the </w:t>
      </w:r>
      <w:r w:rsidR="003E1D99">
        <w:t>5945-6425MHz frequency range</w:t>
      </w:r>
      <w:r w:rsidR="00E8614A">
        <w:t>.</w:t>
      </w:r>
      <w:r w:rsidR="003E1D99">
        <w:t xml:space="preserve"> </w:t>
      </w:r>
    </w:p>
    <w:p w14:paraId="1D289629" w14:textId="377895D4" w:rsidR="008E7986" w:rsidRDefault="008A3B4F" w:rsidP="008E7986">
      <w:r>
        <w:t xml:space="preserve">Since the 6GHz regulatory framework for the CEPT countries is completed, 3GPP RAN#90 meeting decided to resume the corresponding WI </w:t>
      </w:r>
      <w:r w:rsidR="00760E53">
        <w:fldChar w:fldCharType="begin"/>
      </w:r>
      <w:r w:rsidR="00760E53">
        <w:instrText xml:space="preserve"> REF _Ref61460200 \r \h </w:instrText>
      </w:r>
      <w:r w:rsidR="00760E53">
        <w:fldChar w:fldCharType="separate"/>
      </w:r>
      <w:r w:rsidR="006D2AB3">
        <w:t>[3]</w:t>
      </w:r>
      <w:r w:rsidR="00760E53">
        <w:fldChar w:fldCharType="end"/>
      </w:r>
      <w:r>
        <w:t xml:space="preserve"> that aims at adding </w:t>
      </w:r>
      <w:r w:rsidR="00E8614A">
        <w:t xml:space="preserve">3GPP </w:t>
      </w:r>
      <w:r>
        <w:t xml:space="preserve">support </w:t>
      </w:r>
      <w:r w:rsidR="00084063">
        <w:t>for</w:t>
      </w:r>
      <w:r>
        <w:t xml:space="preserve"> the 6GHz band in that regulatory region. </w:t>
      </w:r>
      <w:r w:rsidR="005C25BE">
        <w:t>During RAN4#98</w:t>
      </w:r>
      <w:r w:rsidR="002E0796">
        <w:t>bis</w:t>
      </w:r>
      <w:r w:rsidR="005C25BE">
        <w:t xml:space="preserve"> meeting, several contributions were made elaborating further on whether 3GPP can leverage the existing band n96 or should add a new band</w:t>
      </w:r>
      <w:r w:rsidR="0079448B">
        <w:t xml:space="preserve"> </w:t>
      </w:r>
      <w:r w:rsidR="0079448B">
        <w:fldChar w:fldCharType="begin"/>
      </w:r>
      <w:r w:rsidR="0079448B">
        <w:instrText xml:space="preserve"> REF _Ref68168249 \r \h </w:instrText>
      </w:r>
      <w:r w:rsidR="0079448B">
        <w:fldChar w:fldCharType="separate"/>
      </w:r>
      <w:r w:rsidR="006D2AB3">
        <w:t>[4]</w:t>
      </w:r>
      <w:r w:rsidR="0079448B">
        <w:fldChar w:fldCharType="end"/>
      </w:r>
      <w:r w:rsidR="0079448B">
        <w:t>-</w:t>
      </w:r>
      <w:r w:rsidR="0079448B">
        <w:fldChar w:fldCharType="begin"/>
      </w:r>
      <w:r w:rsidR="0079448B">
        <w:instrText xml:space="preserve"> REF _Ref68168255 \r \h </w:instrText>
      </w:r>
      <w:r w:rsidR="0079448B">
        <w:fldChar w:fldCharType="separate"/>
      </w:r>
      <w:r w:rsidR="006D2AB3">
        <w:t>[8]</w:t>
      </w:r>
      <w:r w:rsidR="0079448B">
        <w:fldChar w:fldCharType="end"/>
      </w:r>
      <w:r w:rsidR="005C25BE">
        <w:t>. RAN WG4 did not conclude on this matter and instead two options were captured in the final summary document</w:t>
      </w:r>
      <w:r w:rsidR="006D2AB3">
        <w:t>.</w:t>
      </w:r>
      <w:r w:rsidR="0079448B">
        <w:t xml:space="preserve"> </w:t>
      </w:r>
      <w:r w:rsidR="005C25BE">
        <w:t>I</w:t>
      </w:r>
      <w:r>
        <w:t xml:space="preserve">n this discussion paper we present our </w:t>
      </w:r>
      <w:r w:rsidR="005C25BE">
        <w:t xml:space="preserve">further </w:t>
      </w:r>
      <w:r>
        <w:t xml:space="preserve">technical analysis </w:t>
      </w:r>
      <w:r w:rsidR="005C25BE">
        <w:t xml:space="preserve">of the overall 6GHz ecosystem and </w:t>
      </w:r>
      <w:r>
        <w:t xml:space="preserve">how </w:t>
      </w:r>
      <w:r w:rsidR="005C25BE">
        <w:t>to support the 6GHz</w:t>
      </w:r>
      <w:r>
        <w:t xml:space="preserve"> band </w:t>
      </w:r>
      <w:r w:rsidR="005C25BE">
        <w:t>in the EU/CEPT regulatory domain</w:t>
      </w:r>
      <w:r>
        <w:t xml:space="preserve">. </w:t>
      </w:r>
      <w:r w:rsidR="00C27E2F">
        <w:t xml:space="preserve"> </w:t>
      </w:r>
      <w:r w:rsidR="00CD5E72">
        <w:t xml:space="preserve"> </w:t>
      </w:r>
    </w:p>
    <w:p w14:paraId="06E92CC7" w14:textId="77777777" w:rsidR="008E7986" w:rsidRDefault="008E7986" w:rsidP="008E7986"/>
    <w:p w14:paraId="3A67921B" w14:textId="01BF8B58" w:rsidR="008E7986" w:rsidRDefault="008E7986" w:rsidP="008E7986">
      <w:pPr>
        <w:pStyle w:val="Heading1"/>
      </w:pPr>
      <w:r>
        <w:t>2</w:t>
      </w:r>
      <w:r>
        <w:tab/>
      </w:r>
      <w:r w:rsidR="008A3B4F">
        <w:t xml:space="preserve">6GHz band </w:t>
      </w:r>
      <w:r>
        <w:t xml:space="preserve"> </w:t>
      </w:r>
    </w:p>
    <w:p w14:paraId="7228DA19" w14:textId="5B4747DF" w:rsidR="00E72324" w:rsidRDefault="008A3B4F" w:rsidP="00E72324">
      <w:r>
        <w:t xml:space="preserve">As already mentioned in the Introduction part, </w:t>
      </w:r>
      <w:r w:rsidR="0011527E">
        <w:t xml:space="preserve">while </w:t>
      </w:r>
      <w:r w:rsidR="006175AB">
        <w:t xml:space="preserve">several Administrations, such as </w:t>
      </w:r>
      <w:r w:rsidR="007556BB">
        <w:t xml:space="preserve">US </w:t>
      </w:r>
      <w:r w:rsidR="0011527E">
        <w:t>FCC</w:t>
      </w:r>
      <w:r w:rsidR="007556BB">
        <w:t xml:space="preserve"> and Korean MIST</w:t>
      </w:r>
      <w:r w:rsidR="006175AB">
        <w:t>,</w:t>
      </w:r>
      <w:r w:rsidR="0011527E">
        <w:t xml:space="preserve"> ha</w:t>
      </w:r>
      <w:r w:rsidR="006175AB">
        <w:t>ve</w:t>
      </w:r>
      <w:r w:rsidR="0011527E">
        <w:t xml:space="preserve"> allocated the full range of 5925-7125MHz to the license-exempt operation</w:t>
      </w:r>
      <w:r w:rsidR="000A2364">
        <w:t>,</w:t>
      </w:r>
      <w:r w:rsidR="0011527E">
        <w:t xml:space="preserve"> </w:t>
      </w:r>
      <w:r w:rsidR="000A2364">
        <w:t>EU/</w:t>
      </w:r>
      <w:r w:rsidR="0011527E">
        <w:t>CEPT countries will use a smaller portion of the 6GHz band for the unlicensed operation</w:t>
      </w:r>
      <w:r w:rsidR="00E72324">
        <w:t>.</w:t>
      </w:r>
      <w:r w:rsidR="0011527E">
        <w:t xml:space="preserve"> As can be seen from the Figure 1 below, </w:t>
      </w:r>
      <w:r w:rsidR="006175AB">
        <w:t>EU/</w:t>
      </w:r>
      <w:r w:rsidR="00E8614A">
        <w:t>CEPT</w:t>
      </w:r>
      <w:r w:rsidR="0011527E">
        <w:t xml:space="preserve"> 6GHz band roughly corresponds to </w:t>
      </w:r>
      <w:r w:rsidR="006175AB">
        <w:t xml:space="preserve">the </w:t>
      </w:r>
      <w:r w:rsidR="00084063">
        <w:t xml:space="preserve">US </w:t>
      </w:r>
      <w:r w:rsidR="0011527E">
        <w:t xml:space="preserve">U-NII-5 sub-band with the only difference that </w:t>
      </w:r>
      <w:r w:rsidR="00E8614A">
        <w:t>it</w:t>
      </w:r>
      <w:r w:rsidR="0011527E">
        <w:t xml:space="preserve"> starts </w:t>
      </w:r>
      <w:r w:rsidR="001E28B6">
        <w:t xml:space="preserve">at </w:t>
      </w:r>
      <w:r w:rsidR="0011527E">
        <w:t xml:space="preserve">5945MHz. </w:t>
      </w:r>
      <w:r w:rsidR="00E72324" w:rsidRPr="00E72324">
        <w:t xml:space="preserve"> </w:t>
      </w:r>
      <w:r w:rsidR="006175AB">
        <w:t xml:space="preserve">It also worth noting that </w:t>
      </w:r>
      <w:r w:rsidR="002E0796">
        <w:t xml:space="preserve">the regulatory parameters of </w:t>
      </w:r>
      <w:r w:rsidR="006175AB">
        <w:t xml:space="preserve">the EU/CEPT 6GHz band </w:t>
      </w:r>
      <w:r w:rsidR="002E0796">
        <w:t xml:space="preserve">are close to </w:t>
      </w:r>
      <w:r w:rsidR="006175AB">
        <w:t xml:space="preserve">the corresponding frequency range allocated by the Korean government for the similar low power indoor (LPI) and very low power (VLP) indoor/outdoor operation (refer to Table 2-1 below for more technical details). </w:t>
      </w:r>
    </w:p>
    <w:p w14:paraId="48154E48" w14:textId="7817F136" w:rsidR="008A3B4F" w:rsidRDefault="001076E7" w:rsidP="00E72324">
      <w:r>
        <w:rPr>
          <w:noProof/>
        </w:rPr>
        <w:drawing>
          <wp:inline distT="0" distB="0" distL="0" distR="0" wp14:anchorId="498D9370" wp14:editId="10E93E8E">
            <wp:extent cx="6122035" cy="1739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6122035" cy="1739900"/>
                    </a:xfrm>
                    <a:prstGeom prst="rect">
                      <a:avLst/>
                    </a:prstGeom>
                  </pic:spPr>
                </pic:pic>
              </a:graphicData>
            </a:graphic>
          </wp:inline>
        </w:drawing>
      </w:r>
    </w:p>
    <w:p w14:paraId="295D335C" w14:textId="19E8A298" w:rsidR="008A3B4F" w:rsidRPr="004D3578" w:rsidRDefault="008A3B4F" w:rsidP="008A3B4F">
      <w:pPr>
        <w:pStyle w:val="TF"/>
      </w:pPr>
      <w:r w:rsidRPr="004D3578">
        <w:t xml:space="preserve">Figure </w:t>
      </w:r>
      <w:r w:rsidR="00D36ED8">
        <w:t>2-</w:t>
      </w:r>
      <w:r w:rsidRPr="004D3578">
        <w:t xml:space="preserve">1: </w:t>
      </w:r>
      <w:r>
        <w:t xml:space="preserve">Overview of the 6GHz unlicensed band in </w:t>
      </w:r>
      <w:r w:rsidR="00790471">
        <w:t xml:space="preserve">different </w:t>
      </w:r>
      <w:r w:rsidR="007556BB">
        <w:t xml:space="preserve">regulatory </w:t>
      </w:r>
      <w:r w:rsidR="00790471">
        <w:t>regions</w:t>
      </w:r>
      <w:r w:rsidR="007556BB">
        <w:t>.</w:t>
      </w:r>
      <w:r w:rsidR="00790471">
        <w:t xml:space="preserve"> </w:t>
      </w:r>
    </w:p>
    <w:p w14:paraId="70B7CC0E" w14:textId="77777777" w:rsidR="0079448B" w:rsidRDefault="0079448B" w:rsidP="00E72324"/>
    <w:p w14:paraId="5A85373D" w14:textId="77777777" w:rsidR="00322AC1" w:rsidRDefault="00322AC1" w:rsidP="00322AC1">
      <w:pPr>
        <w:pStyle w:val="TH"/>
      </w:pPr>
      <w:r w:rsidRPr="004D3578">
        <w:lastRenderedPageBreak/>
        <w:t xml:space="preserve">Table </w:t>
      </w:r>
      <w:r>
        <w:t>2-</w:t>
      </w:r>
      <w:r w:rsidRPr="004D3578">
        <w:t xml:space="preserve">1: </w:t>
      </w:r>
      <w:r>
        <w:t>Summary of the CEPT 6GHz band regulatory requirements.</w:t>
      </w:r>
    </w:p>
    <w:tbl>
      <w:tblPr>
        <w:tblStyle w:val="TableGrid"/>
        <w:tblW w:w="9776" w:type="dxa"/>
        <w:tblLook w:val="04A0" w:firstRow="1" w:lastRow="0" w:firstColumn="1" w:lastColumn="0" w:noHBand="0" w:noVBand="1"/>
      </w:tblPr>
      <w:tblGrid>
        <w:gridCol w:w="1129"/>
        <w:gridCol w:w="2410"/>
        <w:gridCol w:w="1559"/>
        <w:gridCol w:w="1418"/>
        <w:gridCol w:w="1701"/>
        <w:gridCol w:w="1559"/>
      </w:tblGrid>
      <w:tr w:rsidR="00322AC1" w14:paraId="6A2277AB" w14:textId="77777777" w:rsidTr="00B564A8">
        <w:tc>
          <w:tcPr>
            <w:tcW w:w="1129" w:type="dxa"/>
          </w:tcPr>
          <w:p w14:paraId="43A507AF" w14:textId="77777777" w:rsidR="00322AC1" w:rsidRDefault="00322AC1" w:rsidP="00B564A8">
            <w:pPr>
              <w:pStyle w:val="TAH"/>
            </w:pPr>
            <w:r>
              <w:t>Country</w:t>
            </w:r>
          </w:p>
        </w:tc>
        <w:tc>
          <w:tcPr>
            <w:tcW w:w="2410" w:type="dxa"/>
          </w:tcPr>
          <w:p w14:paraId="2D24AD53" w14:textId="77777777" w:rsidR="00322AC1" w:rsidRDefault="00322AC1" w:rsidP="00B564A8">
            <w:pPr>
              <w:pStyle w:val="TAH"/>
            </w:pPr>
            <w:r>
              <w:t>Permissible operation</w:t>
            </w:r>
          </w:p>
        </w:tc>
        <w:tc>
          <w:tcPr>
            <w:tcW w:w="1559" w:type="dxa"/>
          </w:tcPr>
          <w:p w14:paraId="731A2071" w14:textId="77777777" w:rsidR="00322AC1" w:rsidRDefault="00322AC1" w:rsidP="00B564A8">
            <w:pPr>
              <w:pStyle w:val="TAH"/>
            </w:pPr>
            <w:r>
              <w:t>Frequency range</w:t>
            </w:r>
          </w:p>
        </w:tc>
        <w:tc>
          <w:tcPr>
            <w:tcW w:w="1418" w:type="dxa"/>
          </w:tcPr>
          <w:p w14:paraId="4C5B8058" w14:textId="77777777" w:rsidR="00322AC1" w:rsidRDefault="00322AC1" w:rsidP="00B564A8">
            <w:pPr>
              <w:pStyle w:val="TAH"/>
            </w:pPr>
            <w:r w:rsidRPr="00A930D3">
              <w:t>Maximum mean EIRP for in-band emissions</w:t>
            </w:r>
          </w:p>
        </w:tc>
        <w:tc>
          <w:tcPr>
            <w:tcW w:w="1701" w:type="dxa"/>
          </w:tcPr>
          <w:p w14:paraId="6D577C05" w14:textId="77777777" w:rsidR="00322AC1" w:rsidRDefault="00322AC1" w:rsidP="00B564A8">
            <w:pPr>
              <w:pStyle w:val="TAH"/>
            </w:pPr>
            <w:r w:rsidRPr="00A930D3">
              <w:t>Maximum mean EIRP density for in-band emissions</w:t>
            </w:r>
          </w:p>
        </w:tc>
        <w:tc>
          <w:tcPr>
            <w:tcW w:w="1559" w:type="dxa"/>
          </w:tcPr>
          <w:p w14:paraId="503DB3AB" w14:textId="77777777" w:rsidR="00322AC1" w:rsidRDefault="00322AC1" w:rsidP="00B564A8">
            <w:pPr>
              <w:pStyle w:val="TAH"/>
            </w:pPr>
            <w:r w:rsidRPr="00A930D3">
              <w:t>Maximum mean EIRP density for out-of-band emissions</w:t>
            </w:r>
          </w:p>
        </w:tc>
      </w:tr>
      <w:tr w:rsidR="00300E70" w:rsidRPr="00A930D3" w14:paraId="2B99AA03" w14:textId="77777777" w:rsidTr="00B564A8">
        <w:tc>
          <w:tcPr>
            <w:tcW w:w="1129" w:type="dxa"/>
            <w:vMerge w:val="restart"/>
          </w:tcPr>
          <w:p w14:paraId="4755BF13" w14:textId="77777777" w:rsidR="00300E70" w:rsidRDefault="00300E70" w:rsidP="00B564A8">
            <w:pPr>
              <w:pStyle w:val="TAC"/>
            </w:pPr>
            <w:r>
              <w:t>EU/CEPT</w:t>
            </w:r>
          </w:p>
        </w:tc>
        <w:tc>
          <w:tcPr>
            <w:tcW w:w="2410" w:type="dxa"/>
          </w:tcPr>
          <w:p w14:paraId="3F902195" w14:textId="77777777" w:rsidR="00300E70" w:rsidRDefault="00300E70" w:rsidP="00B564A8">
            <w:pPr>
              <w:pStyle w:val="TAC"/>
              <w:jc w:val="left"/>
            </w:pPr>
            <w:r>
              <w:t>LPI: Restricted for indoor use only (including trains where metal coated windows are fitted and aircraft).</w:t>
            </w:r>
          </w:p>
          <w:p w14:paraId="17651744" w14:textId="77777777" w:rsidR="00300E70" w:rsidRPr="00A930D3" w:rsidRDefault="00300E70" w:rsidP="00B564A8">
            <w:pPr>
              <w:pStyle w:val="TAC"/>
              <w:jc w:val="left"/>
            </w:pPr>
            <w:r>
              <w:t>Outdoor use (including in road vehicles) is not permitted.</w:t>
            </w:r>
          </w:p>
        </w:tc>
        <w:tc>
          <w:tcPr>
            <w:tcW w:w="1559" w:type="dxa"/>
            <w:vMerge w:val="restart"/>
          </w:tcPr>
          <w:p w14:paraId="1C3A3FC8" w14:textId="77777777" w:rsidR="00300E70" w:rsidRPr="00A930D3" w:rsidRDefault="00300E70" w:rsidP="00B564A8">
            <w:pPr>
              <w:pStyle w:val="TAC"/>
            </w:pPr>
            <w:r w:rsidRPr="00A930D3">
              <w:t>59</w:t>
            </w:r>
            <w:r>
              <w:t>4</w:t>
            </w:r>
            <w:r w:rsidRPr="00A930D3">
              <w:t>5 - 6425MHz</w:t>
            </w:r>
          </w:p>
        </w:tc>
        <w:tc>
          <w:tcPr>
            <w:tcW w:w="1418" w:type="dxa"/>
          </w:tcPr>
          <w:p w14:paraId="01AD985A" w14:textId="77777777" w:rsidR="00300E70" w:rsidRPr="00A930D3" w:rsidRDefault="00300E70" w:rsidP="00B564A8">
            <w:pPr>
              <w:pStyle w:val="TAC"/>
            </w:pPr>
            <w:r>
              <w:t>23dBm</w:t>
            </w:r>
          </w:p>
        </w:tc>
        <w:tc>
          <w:tcPr>
            <w:tcW w:w="1701" w:type="dxa"/>
          </w:tcPr>
          <w:p w14:paraId="7BBA6D1D" w14:textId="77777777" w:rsidR="00300E70" w:rsidRPr="00A930D3" w:rsidRDefault="00300E70" w:rsidP="00B564A8">
            <w:pPr>
              <w:pStyle w:val="TAC"/>
            </w:pPr>
            <w:r>
              <w:t>10dBm/MHz</w:t>
            </w:r>
          </w:p>
        </w:tc>
        <w:tc>
          <w:tcPr>
            <w:tcW w:w="1559" w:type="dxa"/>
          </w:tcPr>
          <w:p w14:paraId="39F8E920" w14:textId="77777777" w:rsidR="00300E70" w:rsidRDefault="00300E70" w:rsidP="00B564A8">
            <w:pPr>
              <w:pStyle w:val="TAC"/>
            </w:pPr>
            <w:r>
              <w:t xml:space="preserve">-22 dBm/MHz </w:t>
            </w:r>
          </w:p>
          <w:p w14:paraId="1D143749" w14:textId="77777777" w:rsidR="00300E70" w:rsidRPr="00A930D3" w:rsidRDefault="00300E70" w:rsidP="00B564A8">
            <w:pPr>
              <w:pStyle w:val="TAC"/>
            </w:pPr>
            <w:r>
              <w:t>(below 5935MHz)</w:t>
            </w:r>
          </w:p>
        </w:tc>
      </w:tr>
      <w:tr w:rsidR="00300E70" w:rsidRPr="00A930D3" w14:paraId="20F3C913" w14:textId="77777777" w:rsidTr="00B564A8">
        <w:tc>
          <w:tcPr>
            <w:tcW w:w="1129" w:type="dxa"/>
            <w:vMerge/>
          </w:tcPr>
          <w:p w14:paraId="411BFB4C" w14:textId="77777777" w:rsidR="00300E70" w:rsidRPr="00A930D3" w:rsidRDefault="00300E70" w:rsidP="00B564A8">
            <w:pPr>
              <w:pStyle w:val="TAC"/>
            </w:pPr>
          </w:p>
        </w:tc>
        <w:tc>
          <w:tcPr>
            <w:tcW w:w="2410" w:type="dxa"/>
          </w:tcPr>
          <w:p w14:paraId="69847404" w14:textId="77777777" w:rsidR="00300E70" w:rsidRDefault="00300E70" w:rsidP="00B564A8">
            <w:pPr>
              <w:pStyle w:val="TAC"/>
              <w:jc w:val="left"/>
            </w:pPr>
            <w:r>
              <w:t>VLP: Indoors and outdoors.</w:t>
            </w:r>
          </w:p>
          <w:p w14:paraId="19639C64" w14:textId="77777777" w:rsidR="00300E70" w:rsidRPr="00A930D3" w:rsidRDefault="00300E70" w:rsidP="00B564A8">
            <w:pPr>
              <w:pStyle w:val="TAC"/>
              <w:jc w:val="left"/>
            </w:pPr>
            <w:r>
              <w:t>Use on drones is prohibited. The VLP device is a portable device.</w:t>
            </w:r>
          </w:p>
        </w:tc>
        <w:tc>
          <w:tcPr>
            <w:tcW w:w="1559" w:type="dxa"/>
            <w:vMerge/>
          </w:tcPr>
          <w:p w14:paraId="1D736120" w14:textId="77777777" w:rsidR="00300E70" w:rsidRPr="00A930D3" w:rsidRDefault="00300E70" w:rsidP="00B564A8">
            <w:pPr>
              <w:pStyle w:val="TAC"/>
            </w:pPr>
          </w:p>
        </w:tc>
        <w:tc>
          <w:tcPr>
            <w:tcW w:w="1418" w:type="dxa"/>
          </w:tcPr>
          <w:p w14:paraId="6E61D653" w14:textId="77777777" w:rsidR="00300E70" w:rsidRPr="00A930D3" w:rsidRDefault="00300E70" w:rsidP="00B564A8">
            <w:pPr>
              <w:pStyle w:val="TAC"/>
            </w:pPr>
            <w:r>
              <w:t>14dBm</w:t>
            </w:r>
          </w:p>
        </w:tc>
        <w:tc>
          <w:tcPr>
            <w:tcW w:w="1701" w:type="dxa"/>
          </w:tcPr>
          <w:p w14:paraId="066DE31C" w14:textId="77777777" w:rsidR="00300E70" w:rsidRDefault="00300E70" w:rsidP="00B564A8">
            <w:pPr>
              <w:pStyle w:val="TAC"/>
            </w:pPr>
            <w:r>
              <w:t>1dBm/MHz</w:t>
            </w:r>
          </w:p>
          <w:p w14:paraId="3A6815DB" w14:textId="1570F78F" w:rsidR="00C566D8" w:rsidRPr="00A930D3" w:rsidRDefault="00C566D8" w:rsidP="00B564A8">
            <w:pPr>
              <w:pStyle w:val="TAC"/>
            </w:pPr>
            <w:r>
              <w:t>10dBm/MHz (for the narrowband usage)</w:t>
            </w:r>
          </w:p>
        </w:tc>
        <w:tc>
          <w:tcPr>
            <w:tcW w:w="1559" w:type="dxa"/>
          </w:tcPr>
          <w:p w14:paraId="461B3505" w14:textId="77777777" w:rsidR="00300E70" w:rsidRDefault="00300E70" w:rsidP="00B564A8">
            <w:pPr>
              <w:pStyle w:val="TAC"/>
            </w:pPr>
            <w:r>
              <w:t>-45 dBm/MHz</w:t>
            </w:r>
          </w:p>
          <w:p w14:paraId="586BE4B9" w14:textId="00326649" w:rsidR="00300E70" w:rsidRDefault="00300E70" w:rsidP="00B564A8">
            <w:pPr>
              <w:pStyle w:val="TAC"/>
            </w:pPr>
            <w:r>
              <w:t xml:space="preserve">(below 5935MHz); </w:t>
            </w:r>
            <w:r w:rsidR="002E0796">
              <w:t>see NOTE1</w:t>
            </w:r>
          </w:p>
          <w:p w14:paraId="1CCDDF14" w14:textId="2E2B9124" w:rsidR="00300E70" w:rsidRPr="00A930D3" w:rsidRDefault="00300E70" w:rsidP="00B564A8">
            <w:pPr>
              <w:pStyle w:val="TAC"/>
            </w:pPr>
          </w:p>
        </w:tc>
      </w:tr>
      <w:tr w:rsidR="00300E70" w:rsidRPr="00A930D3" w14:paraId="6A142A30" w14:textId="77777777" w:rsidTr="00122D9B">
        <w:tc>
          <w:tcPr>
            <w:tcW w:w="1129" w:type="dxa"/>
            <w:vMerge/>
          </w:tcPr>
          <w:p w14:paraId="7242FC3D" w14:textId="77777777" w:rsidR="00300E70" w:rsidRPr="00A930D3" w:rsidRDefault="00300E70" w:rsidP="00B564A8">
            <w:pPr>
              <w:pStyle w:val="TAC"/>
            </w:pPr>
          </w:p>
        </w:tc>
        <w:tc>
          <w:tcPr>
            <w:tcW w:w="8647" w:type="dxa"/>
            <w:gridSpan w:val="5"/>
          </w:tcPr>
          <w:p w14:paraId="08DEE56D" w14:textId="50A3E7E1" w:rsidR="00300E70" w:rsidRDefault="002E0796" w:rsidP="00300E70">
            <w:pPr>
              <w:pStyle w:val="TAC"/>
              <w:jc w:val="left"/>
            </w:pPr>
            <w:r>
              <w:t xml:space="preserve">NOTE1: </w:t>
            </w:r>
            <w:r w:rsidRPr="00300E70">
              <w:t>ECC will study the appropriateness of this level of OOBE by 31/12/2024. In absence of the justified evidence, a value of -37 dBm/MHz will be adopted from 1 January 2025</w:t>
            </w:r>
          </w:p>
        </w:tc>
      </w:tr>
    </w:tbl>
    <w:p w14:paraId="4375AA54" w14:textId="77777777" w:rsidR="00322AC1" w:rsidRDefault="00322AC1" w:rsidP="00322AC1"/>
    <w:p w14:paraId="65F9F3A5" w14:textId="3F328824" w:rsidR="006E7B8B" w:rsidRDefault="0011527E" w:rsidP="00E72324">
      <w:r>
        <w:t xml:space="preserve">One of the first questions for introduction of the unlicensed operation on the 6GHz band in </w:t>
      </w:r>
      <w:r w:rsidR="002D28C1">
        <w:t>the EU/</w:t>
      </w:r>
      <w:r w:rsidR="00E8614A">
        <w:t>CEPT coun</w:t>
      </w:r>
      <w:r w:rsidR="00D93B95">
        <w:t>t</w:t>
      </w:r>
      <w:r w:rsidR="00E8614A">
        <w:t>ries</w:t>
      </w:r>
      <w:r>
        <w:t xml:space="preserve"> is the band plan for the 3GPP specifications. As presented in Figure 1, there already exists </w:t>
      </w:r>
      <w:r w:rsidR="00322AC1">
        <w:t xml:space="preserve">3GPP </w:t>
      </w:r>
      <w:r>
        <w:t xml:space="preserve">band n96 covering the whole frequency range from 5925MHz to 7125MHz. And even though band n96 </w:t>
      </w:r>
      <w:r w:rsidR="002D28C1">
        <w:t>covers the whole frequency range of 5.875-7.125GHz (effectively supporting</w:t>
      </w:r>
      <w:r>
        <w:t xml:space="preserve"> </w:t>
      </w:r>
      <w:r w:rsidR="002D28C1">
        <w:t xml:space="preserve">the 6GHz band in </w:t>
      </w:r>
      <w:r w:rsidR="000A2364">
        <w:t>countries, such</w:t>
      </w:r>
      <w:r w:rsidR="002D28C1">
        <w:t xml:space="preserve"> US</w:t>
      </w:r>
      <w:r w:rsidR="000A2364">
        <w:t>,</w:t>
      </w:r>
      <w:r w:rsidR="002D28C1">
        <w:t xml:space="preserve"> Korea</w:t>
      </w:r>
      <w:r w:rsidR="000A2364">
        <w:t>, Brazil, etc</w:t>
      </w:r>
      <w:r w:rsidR="002D28C1">
        <w:t>)</w:t>
      </w:r>
      <w:r w:rsidR="00276891">
        <w:t>, there is no technical obstacle for using the same band for a sub-range of frequencies</w:t>
      </w:r>
      <w:r w:rsidR="00271191">
        <w:t xml:space="preserve"> in </w:t>
      </w:r>
      <w:r w:rsidR="002D28C1">
        <w:t>EU/</w:t>
      </w:r>
      <w:r w:rsidR="00271191">
        <w:t>CEPT</w:t>
      </w:r>
      <w:r w:rsidR="00276891">
        <w:t>. In fact, this is quite a common practice for 3GPP when an existing larger band is used to support a smaller band</w:t>
      </w:r>
      <w:r w:rsidR="00271191">
        <w:t xml:space="preserve"> whereupon a larger and a smaller band can be even in different geographical regions. One of the most recent examples is </w:t>
      </w:r>
      <w:r w:rsidR="00276891">
        <w:t xml:space="preserve">band n77 </w:t>
      </w:r>
      <w:r w:rsidR="00271191">
        <w:t>being</w:t>
      </w:r>
      <w:r w:rsidR="00276891">
        <w:t xml:space="preserve"> </w:t>
      </w:r>
      <w:r w:rsidR="00271191">
        <w:t>leveraged for the C-band</w:t>
      </w:r>
      <w:r w:rsidR="00E8614A">
        <w:t xml:space="preserve"> in US</w:t>
      </w:r>
      <w:r w:rsidR="00271191">
        <w:t xml:space="preserve">. </w:t>
      </w:r>
      <w:r w:rsidR="0053160D">
        <w:t>The fact that CEPT countries have a smaller frequency range should not cause any discrepancies because it is eventually up to the base station configuration on which frequencies NR is configured</w:t>
      </w:r>
      <w:r w:rsidR="00776D5C">
        <w:t>.</w:t>
      </w:r>
      <w:r w:rsidR="0053160D">
        <w:t xml:space="preserve"> </w:t>
      </w:r>
    </w:p>
    <w:p w14:paraId="3F085E11" w14:textId="65550B12" w:rsidR="00322AC1" w:rsidRDefault="00322AC1" w:rsidP="00322AC1">
      <w:pPr>
        <w:pStyle w:val="Observation"/>
      </w:pPr>
      <w:r>
        <w:t xml:space="preserve">Observation 1: </w:t>
      </w:r>
      <w:r>
        <w:tab/>
        <w:t xml:space="preserve">There is no technical issue with supporting EU/CEPT </w:t>
      </w:r>
      <w:r w:rsidRPr="00322AC1">
        <w:t>5.9</w:t>
      </w:r>
      <w:r w:rsidR="0092797D">
        <w:t>4</w:t>
      </w:r>
      <w:r w:rsidRPr="00322AC1">
        <w:t>5-6.425GHz frequency range</w:t>
      </w:r>
      <w:r>
        <w:t xml:space="preserve"> with a larger band.</w:t>
      </w:r>
    </w:p>
    <w:p w14:paraId="291ACAAC" w14:textId="77777777" w:rsidR="00860195" w:rsidRDefault="00860195" w:rsidP="00E72324"/>
    <w:p w14:paraId="10354506" w14:textId="2F53349E" w:rsidR="00336548" w:rsidRPr="00B5599E" w:rsidRDefault="0087379A" w:rsidP="00E72324">
      <w:r w:rsidRPr="00B5599E">
        <w:t xml:space="preserve">During the RAN4#98bis meeting, several EU/CEPT operators expressed a concern on leveraging existing band n96 due to the possibility that WRC-23 might identify some parts of the 6 GHz band for IMT in ITU Region 1. It was claimed that having a separate/new band in 3GPP for 5.945-6.425GHz will simplify adoption of IMT bands (if the latter has special protection requirements). Firstly, our view is that we cannot predict outcome of the regulatory discussions and thus 3GPP can only devise specifications following existing and officially approved regulatory decisions. In that sense CEPT has completed the regulatory framework for 5.945-6.425GHz, which has no out-of-band emission limits included into the ECC Decision to protect frequencies above 6425 </w:t>
      </w:r>
      <w:proofErr w:type="spellStart"/>
      <w:r w:rsidRPr="00B5599E">
        <w:t>MHz.</w:t>
      </w:r>
      <w:proofErr w:type="spellEnd"/>
      <w:r w:rsidRPr="00B5599E">
        <w:t xml:space="preserve"> Should CEPT decide to implement additional systems, including, but not limited to, the potential IMT identification above 6425 MHz, 3GPP has the corresponding framework with NS values that can activate the new requirements, if needed. Thus, leveraging band n96 for supporting the 6 GHz band in EU/CEPT countries will not create any technical obstacles for supporting new requirements.</w:t>
      </w:r>
    </w:p>
    <w:p w14:paraId="3B197D74" w14:textId="219E65E6" w:rsidR="00860195" w:rsidRPr="00B5599E" w:rsidRDefault="00860195" w:rsidP="00322AC1">
      <w:pPr>
        <w:pStyle w:val="Observation"/>
      </w:pPr>
      <w:r w:rsidRPr="00B5599E">
        <w:t>Observation 2:</w:t>
      </w:r>
      <w:r w:rsidRPr="00B5599E">
        <w:tab/>
        <w:t>The ECC Decision does not have any OOBE limits to protect frequencies above 6425MHz</w:t>
      </w:r>
      <w:r w:rsidR="00336548" w:rsidRPr="00B5599E">
        <w:t>.</w:t>
      </w:r>
    </w:p>
    <w:p w14:paraId="63EAD213" w14:textId="5ED9173B" w:rsidR="00322AC1" w:rsidRDefault="00322AC1" w:rsidP="00322AC1">
      <w:pPr>
        <w:pStyle w:val="Observation"/>
      </w:pPr>
      <w:r w:rsidRPr="00B5599E">
        <w:t xml:space="preserve">Observation </w:t>
      </w:r>
      <w:r w:rsidR="00860195" w:rsidRPr="00B5599E">
        <w:t>3</w:t>
      </w:r>
      <w:r w:rsidRPr="00B5599E">
        <w:t>:</w:t>
      </w:r>
      <w:r w:rsidRPr="00B5599E">
        <w:tab/>
      </w:r>
      <w:r w:rsidR="00336548" w:rsidRPr="00B5599E">
        <w:t>Should</w:t>
      </w:r>
      <w:r w:rsidRPr="00B5599E">
        <w:t xml:space="preserve"> EU/CEPT release new regulatory requirements for the </w:t>
      </w:r>
      <w:r w:rsidR="002E0796" w:rsidRPr="00B5599E">
        <w:t>5.945</w:t>
      </w:r>
      <w:r w:rsidRPr="00B5599E">
        <w:t>-6.425GHz frequency range, they can be supported with the corresponding new NS values for band n96.</w:t>
      </w:r>
    </w:p>
    <w:p w14:paraId="2E6367A4" w14:textId="77777777" w:rsidR="00860195" w:rsidRDefault="00860195" w:rsidP="00322AC1"/>
    <w:p w14:paraId="51659D56" w14:textId="2E2DCECD" w:rsidR="00322AC1" w:rsidRDefault="00322AC1" w:rsidP="00322AC1">
      <w:r>
        <w:t xml:space="preserve">From the UE implementation perspective same hardware components can be used to support band 6GHz, or parts thereof, with the only difference that in EU/CEPT a UE will be configured on different channels following what the NR system information broadcasts. Referring to Annex A, the regulatory parameters and usage of the 5.925-6.425GHz frequency range are very similar (if not identical) across all the major Administrations, and thus there is no technical obstacle in supporting this range with the same 3GPP band. As can be seen, EU/CEPT regulatory rules define LPI and VLP modes for the </w:t>
      </w:r>
      <w:r w:rsidR="002E0796">
        <w:t>5.945</w:t>
      </w:r>
      <w:r>
        <w:t>-</w:t>
      </w:r>
      <w:r w:rsidR="002E0796">
        <w:t xml:space="preserve">6.425GHz </w:t>
      </w:r>
      <w:r>
        <w:t xml:space="preserve">range; and Korean and Brazil rules generally follow the same principle with the only difference that Brazil extends usage of two modes for the whole frequency range up to </w:t>
      </w:r>
      <w:r w:rsidR="002E0796">
        <w:t>7.125GHz</w:t>
      </w:r>
      <w:r>
        <w:t xml:space="preserve">. In that sense tailoring UE implementation to the EU/CEPT rules does not bring any benefit, while supporting the EU/CEPT 6GHz </w:t>
      </w:r>
      <w:r>
        <w:lastRenderedPageBreak/>
        <w:t xml:space="preserve">band with the existing band n96 will decrease time-to-market fostering band 6GHz usage in different regions and incentivising investments. </w:t>
      </w:r>
    </w:p>
    <w:p w14:paraId="3307222C" w14:textId="77777777" w:rsidR="00322AC1" w:rsidRDefault="00322AC1" w:rsidP="00322AC1">
      <w:pPr>
        <w:pStyle w:val="Observation"/>
      </w:pPr>
    </w:p>
    <w:p w14:paraId="77ADBB70" w14:textId="4D8A6D1B" w:rsidR="008A3B4F" w:rsidRDefault="00271191" w:rsidP="00271191">
      <w:pPr>
        <w:pStyle w:val="Proposal"/>
      </w:pPr>
      <w:bookmarkStart w:id="1" w:name="_Toc61304321"/>
      <w:bookmarkStart w:id="2" w:name="_Toc61304343"/>
      <w:bookmarkStart w:id="3" w:name="_Toc61460060"/>
      <w:bookmarkStart w:id="4" w:name="_Toc68101123"/>
      <w:bookmarkStart w:id="5" w:name="_Toc68165365"/>
      <w:bookmarkStart w:id="6" w:name="_Toc68262050"/>
      <w:bookmarkStart w:id="7" w:name="_Toc71032112"/>
      <w:bookmarkStart w:id="8" w:name="_Toc71032733"/>
      <w:bookmarkStart w:id="9" w:name="_Toc71212316"/>
      <w:bookmarkStart w:id="10" w:name="_Toc71669386"/>
      <w:r>
        <w:t>Proposal:</w:t>
      </w:r>
      <w:r>
        <w:tab/>
      </w:r>
      <w:r w:rsidR="00776D5C">
        <w:t>Leverage</w:t>
      </w:r>
      <w:r>
        <w:t xml:space="preserve"> existing band n96 to support license-exempt usage of the 6GHz band in </w:t>
      </w:r>
      <w:r w:rsidR="007556BB">
        <w:t>EU/</w:t>
      </w:r>
      <w:r>
        <w:t>CEPT countries.</w:t>
      </w:r>
      <w:bookmarkEnd w:id="1"/>
      <w:bookmarkEnd w:id="2"/>
      <w:bookmarkEnd w:id="3"/>
      <w:bookmarkEnd w:id="4"/>
      <w:bookmarkEnd w:id="5"/>
      <w:bookmarkEnd w:id="6"/>
      <w:bookmarkEnd w:id="7"/>
      <w:bookmarkEnd w:id="8"/>
      <w:bookmarkEnd w:id="9"/>
      <w:bookmarkEnd w:id="10"/>
      <w:r>
        <w:t xml:space="preserve"> </w:t>
      </w:r>
      <w:r w:rsidR="00276891">
        <w:t xml:space="preserve"> </w:t>
      </w:r>
      <w:r w:rsidR="0011527E">
        <w:t xml:space="preserve"> </w:t>
      </w:r>
    </w:p>
    <w:p w14:paraId="5E42064C" w14:textId="551AE581" w:rsidR="0077799A" w:rsidRDefault="0077799A" w:rsidP="00776D5C"/>
    <w:p w14:paraId="34C99636" w14:textId="77777777" w:rsidR="008E7986" w:rsidRDefault="008E7986" w:rsidP="008E7986">
      <w:pPr>
        <w:pStyle w:val="Heading1"/>
      </w:pPr>
      <w:r>
        <w:t>3</w:t>
      </w:r>
      <w:r>
        <w:tab/>
        <w:t>Conclusions</w:t>
      </w:r>
    </w:p>
    <w:p w14:paraId="358695E8" w14:textId="718D4AE9" w:rsidR="00F55949" w:rsidRDefault="00760E53" w:rsidP="00E72324">
      <w:r>
        <w:t xml:space="preserve">In this discussion paper we have presented our initial views on the 6GHz unlicensed operation in </w:t>
      </w:r>
      <w:r w:rsidR="002E0796">
        <w:t>the EU/</w:t>
      </w:r>
      <w:r>
        <w:t>CEPT countries and how the CEPT regulatory requirements can be supported in the 3GPP specifications</w:t>
      </w:r>
      <w:r w:rsidR="00F70647">
        <w:t>.</w:t>
      </w:r>
      <w:r>
        <w:t xml:space="preserve"> Our technical understanding is that existing 3GPP band n96 can be leveraged to support the 6GHz band in CEPT countries, for which the corresponding NS flag(s) will be added to differentiate between </w:t>
      </w:r>
      <w:proofErr w:type="gramStart"/>
      <w:r w:rsidR="005E531E">
        <w:t>e.g.</w:t>
      </w:r>
      <w:proofErr w:type="gramEnd"/>
      <w:r w:rsidR="005E531E">
        <w:t xml:space="preserve"> </w:t>
      </w:r>
      <w:r>
        <w:t>FCC and CEPT requirements.</w:t>
      </w:r>
    </w:p>
    <w:p w14:paraId="25FBE3BA" w14:textId="77777777" w:rsidR="00B5599E"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B5599E">
        <w:rPr>
          <w:noProof/>
        </w:rPr>
        <w:t>Proposal:</w:t>
      </w:r>
      <w:r w:rsidR="00B5599E">
        <w:rPr>
          <w:rFonts w:asciiTheme="minorHAnsi" w:eastAsiaTheme="minorEastAsia" w:hAnsiTheme="minorHAnsi" w:cstheme="minorBidi"/>
          <w:b w:val="0"/>
          <w:bCs w:val="0"/>
          <w:noProof/>
          <w:sz w:val="24"/>
          <w:szCs w:val="24"/>
          <w:lang w:val="en-DE" w:eastAsia="ko-KR"/>
        </w:rPr>
        <w:tab/>
      </w:r>
      <w:r w:rsidR="00B5599E">
        <w:rPr>
          <w:noProof/>
        </w:rPr>
        <w:t>Leverage existing band n96 to support license-exempt usage of the 6GHz band in EU/CEPT countries.</w:t>
      </w:r>
    </w:p>
    <w:p w14:paraId="05CC6F0A" w14:textId="4B5C22D9" w:rsidR="005E69AE" w:rsidRDefault="0062595A" w:rsidP="00D94A4B">
      <w:r>
        <w:rPr>
          <w:b/>
          <w:bCs/>
        </w:rPr>
        <w:fldChar w:fldCharType="end"/>
      </w:r>
    </w:p>
    <w:p w14:paraId="4D133CD8" w14:textId="38C1E41E" w:rsidR="00276EE4" w:rsidRPr="003A0483" w:rsidRDefault="00D94A4B" w:rsidP="00C27E2F">
      <w:pPr>
        <w:pStyle w:val="Heading1"/>
      </w:pPr>
      <w:r>
        <w:t>3</w:t>
      </w:r>
      <w:r w:rsidR="005E69AE">
        <w:tab/>
        <w:t>References</w:t>
      </w:r>
    </w:p>
    <w:p w14:paraId="02656AEC" w14:textId="4AE3597E" w:rsidR="005E69AE" w:rsidRPr="004D3578" w:rsidRDefault="00C27E2F" w:rsidP="00276EE4">
      <w:pPr>
        <w:pStyle w:val="EX"/>
      </w:pPr>
      <w:bookmarkStart w:id="11" w:name="_Ref61300565"/>
      <w:r w:rsidRPr="00C27E2F">
        <w:t>RP-1912926, "WID on NR-based Access to Unlicensed Spectrum ", Qualcomm Inc.</w:t>
      </w:r>
      <w:bookmarkEnd w:id="11"/>
    </w:p>
    <w:p w14:paraId="731905A1" w14:textId="4F58A6FE" w:rsidR="005E69AE" w:rsidRDefault="00D94A4B" w:rsidP="005E69AE">
      <w:pPr>
        <w:pStyle w:val="EX"/>
      </w:pPr>
      <w:bookmarkStart w:id="12" w:name="_Ref61460191"/>
      <w:r>
        <w:t>3GPP TR 37.890, "</w:t>
      </w:r>
      <w:r w:rsidRPr="00D94A4B">
        <w:t>Feasibility Study on 6 GHz for LTE and NR in Licensed and Unlicensed Operations</w:t>
      </w:r>
      <w:r>
        <w:t>", v0.10.0</w:t>
      </w:r>
      <w:bookmarkEnd w:id="12"/>
    </w:p>
    <w:p w14:paraId="170B3485" w14:textId="32898E6B" w:rsidR="00D94A4B" w:rsidRDefault="00760E53" w:rsidP="005E69AE">
      <w:pPr>
        <w:pStyle w:val="EX"/>
      </w:pPr>
      <w:bookmarkStart w:id="13" w:name="_Ref61460200"/>
      <w:r w:rsidRPr="00760E53">
        <w:t>RP‐202592</w:t>
      </w:r>
      <w:r>
        <w:t>, "</w:t>
      </w:r>
      <w:r w:rsidRPr="00760E53">
        <w:t>WID on introduction of lower 6GHz NR unlicensed operation for Europe</w:t>
      </w:r>
      <w:r>
        <w:t>", Nokia, Nokia Shanghai Bell</w:t>
      </w:r>
      <w:bookmarkEnd w:id="13"/>
    </w:p>
    <w:p w14:paraId="62296574" w14:textId="2E6B93DB" w:rsidR="0079448B" w:rsidRDefault="00322AC1" w:rsidP="005E69AE">
      <w:pPr>
        <w:pStyle w:val="EX"/>
      </w:pPr>
      <w:bookmarkStart w:id="14" w:name="_Ref68168249"/>
      <w:r w:rsidRPr="00322AC1">
        <w:t>R4-2104882</w:t>
      </w:r>
      <w:r>
        <w:t>, "</w:t>
      </w:r>
      <w:r w:rsidRPr="00322AC1">
        <w:t>Band plan for lower 6GHz NR unlicensed operation for Europe</w:t>
      </w:r>
      <w:r>
        <w:t>"</w:t>
      </w:r>
      <w:r w:rsidR="0079448B">
        <w:t>, Apple Inc.</w:t>
      </w:r>
      <w:bookmarkEnd w:id="14"/>
    </w:p>
    <w:p w14:paraId="2C8B036B" w14:textId="22AC7516" w:rsidR="0079448B" w:rsidRDefault="0079448B" w:rsidP="005E69AE">
      <w:pPr>
        <w:pStyle w:val="EX"/>
      </w:pPr>
      <w:r w:rsidRPr="0079448B">
        <w:t>R4-2100546</w:t>
      </w:r>
      <w:r>
        <w:t>, "</w:t>
      </w:r>
      <w:r w:rsidRPr="0079448B">
        <w:t>NRU in 6GHz EU spectrum: Band Definition and Related Emission Requirements</w:t>
      </w:r>
      <w:r>
        <w:t>", Skyworks Solutions Inc.</w:t>
      </w:r>
    </w:p>
    <w:p w14:paraId="4D149D8A" w14:textId="73015D58" w:rsidR="0079448B" w:rsidRDefault="0079448B" w:rsidP="005E69AE">
      <w:pPr>
        <w:pStyle w:val="EX"/>
      </w:pPr>
      <w:r w:rsidRPr="0079448B">
        <w:t>R4-2101965</w:t>
      </w:r>
      <w:r>
        <w:t>, "</w:t>
      </w:r>
      <w:r w:rsidRPr="0079448B">
        <w:t>Discussion on Europe unlicensed 6GHz for NR-U</w:t>
      </w:r>
      <w:r>
        <w:t>", ZTE Corporation</w:t>
      </w:r>
    </w:p>
    <w:p w14:paraId="1666E59E" w14:textId="065DB989" w:rsidR="0079448B" w:rsidRDefault="00322AC1" w:rsidP="005E69AE">
      <w:pPr>
        <w:pStyle w:val="EX"/>
      </w:pPr>
      <w:r w:rsidRPr="00322AC1">
        <w:t>R4-2107197</w:t>
      </w:r>
      <w:r>
        <w:t>, "</w:t>
      </w:r>
      <w:r w:rsidRPr="00322AC1">
        <w:t>On system parameters for the lower 6GHz NR unlicensed operation</w:t>
      </w:r>
      <w:r>
        <w:t>"</w:t>
      </w:r>
      <w:r w:rsidR="0079448B">
        <w:t>, Nokia, Nokia Shanghai Bell</w:t>
      </w:r>
    </w:p>
    <w:p w14:paraId="3F1C32EB" w14:textId="43BC1F3B" w:rsidR="006D2AB3" w:rsidRDefault="0079448B" w:rsidP="006D2AB3">
      <w:pPr>
        <w:pStyle w:val="EX"/>
      </w:pPr>
      <w:bookmarkStart w:id="15" w:name="_Ref68168255"/>
      <w:r w:rsidRPr="0079448B">
        <w:t>R4-2102416</w:t>
      </w:r>
      <w:r>
        <w:t>, "</w:t>
      </w:r>
      <w:r w:rsidRPr="0079448B">
        <w:t>UE requirements for EU NR-U 6 GHz band</w:t>
      </w:r>
      <w:r>
        <w:t>", Qualcomm Inc.</w:t>
      </w:r>
      <w:bookmarkEnd w:id="15"/>
    </w:p>
    <w:p w14:paraId="4A1062FD" w14:textId="2495A32E" w:rsidR="00921CC6" w:rsidRPr="004D3578" w:rsidRDefault="00921CC6" w:rsidP="005E69AE">
      <w:pPr>
        <w:pStyle w:val="EX"/>
      </w:pPr>
      <w:bookmarkStart w:id="16" w:name="_Ref68282568"/>
      <w:r w:rsidRPr="00921CC6">
        <w:t>R4-2104884</w:t>
      </w:r>
      <w:r>
        <w:t>, "</w:t>
      </w:r>
      <w:r w:rsidRPr="00921CC6">
        <w:t>Supporting the 6GHz band in other countries/regions</w:t>
      </w:r>
      <w:r>
        <w:t>", Apple Inc.</w:t>
      </w:r>
      <w:bookmarkEnd w:id="16"/>
    </w:p>
    <w:bookmarkEnd w:id="0"/>
    <w:p w14:paraId="3CA287B3" w14:textId="5321E677" w:rsidR="00322AC1" w:rsidRDefault="00322AC1">
      <w:pPr>
        <w:spacing w:after="0"/>
      </w:pPr>
      <w:r>
        <w:br w:type="page"/>
      </w:r>
    </w:p>
    <w:p w14:paraId="56934037" w14:textId="77777777" w:rsidR="00531ADD" w:rsidRDefault="00531ADD">
      <w:pPr>
        <w:spacing w:after="0"/>
      </w:pPr>
    </w:p>
    <w:p w14:paraId="20058DFD" w14:textId="77777777" w:rsidR="00531ADD" w:rsidRDefault="00531ADD" w:rsidP="00531ADD">
      <w:pPr>
        <w:pStyle w:val="Heading8"/>
      </w:pPr>
      <w:r>
        <w:t>Annex A: Summary of the 6GHz band regulatory parameters</w:t>
      </w:r>
    </w:p>
    <w:p w14:paraId="1024DC62" w14:textId="77777777" w:rsidR="00531ADD" w:rsidRDefault="00531ADD" w:rsidP="00531ADD"/>
    <w:tbl>
      <w:tblPr>
        <w:tblStyle w:val="TableGrid"/>
        <w:tblW w:w="9776" w:type="dxa"/>
        <w:tblLook w:val="04A0" w:firstRow="1" w:lastRow="0" w:firstColumn="1" w:lastColumn="0" w:noHBand="0" w:noVBand="1"/>
      </w:tblPr>
      <w:tblGrid>
        <w:gridCol w:w="1129"/>
        <w:gridCol w:w="2410"/>
        <w:gridCol w:w="1559"/>
        <w:gridCol w:w="1418"/>
        <w:gridCol w:w="1701"/>
        <w:gridCol w:w="1559"/>
      </w:tblGrid>
      <w:tr w:rsidR="00531ADD" w14:paraId="1328119E" w14:textId="77777777" w:rsidTr="001E2026">
        <w:tc>
          <w:tcPr>
            <w:tcW w:w="1129" w:type="dxa"/>
          </w:tcPr>
          <w:p w14:paraId="71275B4A" w14:textId="77777777" w:rsidR="00531ADD" w:rsidRDefault="00531ADD" w:rsidP="001E2026">
            <w:pPr>
              <w:pStyle w:val="TAH"/>
            </w:pPr>
            <w:r>
              <w:t>Country</w:t>
            </w:r>
          </w:p>
        </w:tc>
        <w:tc>
          <w:tcPr>
            <w:tcW w:w="2410" w:type="dxa"/>
          </w:tcPr>
          <w:p w14:paraId="0DE60EDC" w14:textId="77777777" w:rsidR="00531ADD" w:rsidRDefault="00531ADD" w:rsidP="001E2026">
            <w:pPr>
              <w:pStyle w:val="TAH"/>
            </w:pPr>
            <w:r>
              <w:t>Permissible operation</w:t>
            </w:r>
          </w:p>
        </w:tc>
        <w:tc>
          <w:tcPr>
            <w:tcW w:w="1559" w:type="dxa"/>
          </w:tcPr>
          <w:p w14:paraId="4DD4D3D4" w14:textId="77777777" w:rsidR="00531ADD" w:rsidRDefault="00531ADD" w:rsidP="001E2026">
            <w:pPr>
              <w:pStyle w:val="TAH"/>
            </w:pPr>
            <w:r>
              <w:t>Frequency range</w:t>
            </w:r>
          </w:p>
        </w:tc>
        <w:tc>
          <w:tcPr>
            <w:tcW w:w="1418" w:type="dxa"/>
          </w:tcPr>
          <w:p w14:paraId="78CF57E9" w14:textId="77777777" w:rsidR="00531ADD" w:rsidRDefault="00531ADD" w:rsidP="001E2026">
            <w:pPr>
              <w:pStyle w:val="TAH"/>
            </w:pPr>
            <w:r w:rsidRPr="00A930D3">
              <w:t>Maximum mean EIRP for in-band emissions</w:t>
            </w:r>
          </w:p>
        </w:tc>
        <w:tc>
          <w:tcPr>
            <w:tcW w:w="1701" w:type="dxa"/>
          </w:tcPr>
          <w:p w14:paraId="456C7510" w14:textId="77777777" w:rsidR="00531ADD" w:rsidRDefault="00531ADD" w:rsidP="001E2026">
            <w:pPr>
              <w:pStyle w:val="TAH"/>
            </w:pPr>
            <w:r w:rsidRPr="00A930D3">
              <w:t>Maximum mean EIRP density for in-band emissions</w:t>
            </w:r>
          </w:p>
        </w:tc>
        <w:tc>
          <w:tcPr>
            <w:tcW w:w="1559" w:type="dxa"/>
          </w:tcPr>
          <w:p w14:paraId="6CD3C48C" w14:textId="77777777" w:rsidR="00531ADD" w:rsidRDefault="00531ADD" w:rsidP="001E2026">
            <w:pPr>
              <w:pStyle w:val="TAH"/>
            </w:pPr>
            <w:r w:rsidRPr="00A930D3">
              <w:t>Maximum mean EIRP density for out-of-band emissions</w:t>
            </w:r>
          </w:p>
        </w:tc>
      </w:tr>
      <w:tr w:rsidR="00531ADD" w:rsidRPr="00A930D3" w14:paraId="131A8C8A" w14:textId="77777777" w:rsidTr="001E2026">
        <w:trPr>
          <w:trHeight w:val="621"/>
        </w:trPr>
        <w:tc>
          <w:tcPr>
            <w:tcW w:w="1129" w:type="dxa"/>
            <w:vMerge w:val="restart"/>
          </w:tcPr>
          <w:p w14:paraId="03389D77" w14:textId="77777777" w:rsidR="00531ADD" w:rsidRPr="00A930D3" w:rsidRDefault="00531ADD" w:rsidP="001E2026">
            <w:pPr>
              <w:pStyle w:val="TAC"/>
            </w:pPr>
            <w:r w:rsidRPr="00A930D3">
              <w:t>US</w:t>
            </w:r>
          </w:p>
        </w:tc>
        <w:tc>
          <w:tcPr>
            <w:tcW w:w="2410" w:type="dxa"/>
          </w:tcPr>
          <w:p w14:paraId="2DFD8126" w14:textId="77777777" w:rsidR="00531ADD" w:rsidRPr="00A930D3" w:rsidRDefault="00531ADD" w:rsidP="001E2026">
            <w:pPr>
              <w:pStyle w:val="TAC"/>
              <w:jc w:val="left"/>
            </w:pPr>
            <w:r>
              <w:t xml:space="preserve">Standard power: </w:t>
            </w:r>
            <w:r w:rsidRPr="00A930D3">
              <w:t>Outdoor with AFC</w:t>
            </w:r>
            <w:r>
              <w:t>.</w:t>
            </w:r>
          </w:p>
        </w:tc>
        <w:tc>
          <w:tcPr>
            <w:tcW w:w="1559" w:type="dxa"/>
          </w:tcPr>
          <w:p w14:paraId="71505B02" w14:textId="77777777" w:rsidR="00531ADD" w:rsidRDefault="00531ADD" w:rsidP="001E2026">
            <w:pPr>
              <w:pStyle w:val="TAC"/>
            </w:pPr>
            <w:r w:rsidRPr="00A930D3">
              <w:t>5925 - 6425MHz</w:t>
            </w:r>
          </w:p>
          <w:p w14:paraId="32C04228" w14:textId="77777777" w:rsidR="00531ADD" w:rsidRPr="00A930D3" w:rsidRDefault="00531ADD" w:rsidP="001E2026">
            <w:pPr>
              <w:pStyle w:val="TAC"/>
            </w:pPr>
            <w:r>
              <w:t>6525 - 6875MHz</w:t>
            </w:r>
          </w:p>
        </w:tc>
        <w:tc>
          <w:tcPr>
            <w:tcW w:w="1418" w:type="dxa"/>
          </w:tcPr>
          <w:p w14:paraId="14B6B7B3" w14:textId="77777777" w:rsidR="00531ADD" w:rsidRPr="00A930D3" w:rsidRDefault="00531ADD" w:rsidP="001E2026">
            <w:pPr>
              <w:pStyle w:val="TAC"/>
            </w:pPr>
            <w:r>
              <w:t>36dBm (AP)</w:t>
            </w:r>
          </w:p>
          <w:p w14:paraId="40B20639" w14:textId="77777777" w:rsidR="00531ADD" w:rsidRPr="00A930D3" w:rsidRDefault="00531ADD" w:rsidP="001E2026">
            <w:pPr>
              <w:pStyle w:val="TAC"/>
            </w:pPr>
            <w:r>
              <w:t>30dBm (CL)</w:t>
            </w:r>
          </w:p>
        </w:tc>
        <w:tc>
          <w:tcPr>
            <w:tcW w:w="1701" w:type="dxa"/>
          </w:tcPr>
          <w:p w14:paraId="08A59B64" w14:textId="77777777" w:rsidR="00531ADD" w:rsidRPr="00A930D3" w:rsidRDefault="00531ADD" w:rsidP="001E2026">
            <w:pPr>
              <w:pStyle w:val="TAC"/>
            </w:pPr>
            <w:r>
              <w:t>23dBm/MHz (AP)</w:t>
            </w:r>
          </w:p>
          <w:p w14:paraId="54470745" w14:textId="77777777" w:rsidR="00531ADD" w:rsidRPr="00A930D3" w:rsidRDefault="00531ADD" w:rsidP="001E2026">
            <w:pPr>
              <w:pStyle w:val="TAC"/>
            </w:pPr>
            <w:r>
              <w:t>17dBm/MHz (CL)</w:t>
            </w:r>
          </w:p>
        </w:tc>
        <w:tc>
          <w:tcPr>
            <w:tcW w:w="1559" w:type="dxa"/>
            <w:vMerge w:val="restart"/>
          </w:tcPr>
          <w:p w14:paraId="43EEC7E5" w14:textId="77777777" w:rsidR="00531ADD" w:rsidRDefault="00531ADD" w:rsidP="001E2026">
            <w:pPr>
              <w:pStyle w:val="TAC"/>
            </w:pPr>
            <w:r>
              <w:t>-27 dBm/MHz</w:t>
            </w:r>
          </w:p>
          <w:p w14:paraId="3A777043" w14:textId="77777777" w:rsidR="00531ADD" w:rsidRPr="00A930D3" w:rsidRDefault="00531ADD" w:rsidP="001E2026">
            <w:pPr>
              <w:pStyle w:val="TAC"/>
            </w:pPr>
            <w:r>
              <w:t>(outside operational range)</w:t>
            </w:r>
          </w:p>
        </w:tc>
      </w:tr>
      <w:tr w:rsidR="00531ADD" w:rsidRPr="00CF12F2" w14:paraId="3A96F510" w14:textId="77777777" w:rsidTr="001E2026">
        <w:tc>
          <w:tcPr>
            <w:tcW w:w="1129" w:type="dxa"/>
            <w:vMerge/>
          </w:tcPr>
          <w:p w14:paraId="7C8E4792" w14:textId="77777777" w:rsidR="00531ADD" w:rsidRPr="00CF12F2" w:rsidRDefault="00531ADD" w:rsidP="001E2026">
            <w:pPr>
              <w:pStyle w:val="TAC"/>
              <w:jc w:val="left"/>
            </w:pPr>
          </w:p>
        </w:tc>
        <w:tc>
          <w:tcPr>
            <w:tcW w:w="2410" w:type="dxa"/>
          </w:tcPr>
          <w:p w14:paraId="795CAA24" w14:textId="77777777" w:rsidR="00531ADD" w:rsidRPr="00CF12F2" w:rsidRDefault="00531ADD" w:rsidP="001E2026">
            <w:pPr>
              <w:pStyle w:val="TAC"/>
              <w:jc w:val="left"/>
            </w:pPr>
            <w:r w:rsidRPr="00CF12F2">
              <w:t>LPI: The access point devices cannot be weather resistant and shall have integrated antennas (prohibiting connection to other antennas).</w:t>
            </w:r>
          </w:p>
          <w:p w14:paraId="72F81BE3" w14:textId="77777777" w:rsidR="00531ADD" w:rsidRPr="00CF12F2" w:rsidRDefault="00531ADD" w:rsidP="001E2026">
            <w:pPr>
              <w:pStyle w:val="TAC"/>
              <w:jc w:val="left"/>
            </w:pPr>
            <w:r w:rsidRPr="00CF12F2">
              <w:t>Operations in moving vehicles (cars, trains, aircraft) and drones are prohibited, with one exception in the U-NII-5 band for large passenger aircraft operating over 10,000 feet.</w:t>
            </w:r>
          </w:p>
        </w:tc>
        <w:tc>
          <w:tcPr>
            <w:tcW w:w="1559" w:type="dxa"/>
          </w:tcPr>
          <w:p w14:paraId="3352DA90" w14:textId="77777777" w:rsidR="00531ADD" w:rsidRPr="00CF12F2" w:rsidRDefault="00531ADD" w:rsidP="001E2026">
            <w:pPr>
              <w:pStyle w:val="TAC"/>
              <w:jc w:val="left"/>
            </w:pPr>
            <w:r w:rsidRPr="00CF12F2">
              <w:t>5925 - 7125MHz</w:t>
            </w:r>
          </w:p>
        </w:tc>
        <w:tc>
          <w:tcPr>
            <w:tcW w:w="1418" w:type="dxa"/>
          </w:tcPr>
          <w:p w14:paraId="0C978CF9" w14:textId="77777777" w:rsidR="00531ADD" w:rsidRPr="00CF12F2" w:rsidRDefault="00531ADD" w:rsidP="001E2026">
            <w:pPr>
              <w:pStyle w:val="TAC"/>
            </w:pPr>
            <w:r w:rsidRPr="00CF12F2">
              <w:t>30dBm (AP)</w:t>
            </w:r>
          </w:p>
          <w:p w14:paraId="2D07EAF3" w14:textId="77777777" w:rsidR="00531ADD" w:rsidRPr="00CF12F2" w:rsidRDefault="00531ADD" w:rsidP="001E2026">
            <w:pPr>
              <w:pStyle w:val="TAC"/>
            </w:pPr>
            <w:r w:rsidRPr="00CF12F2">
              <w:t>24dBm (CL)</w:t>
            </w:r>
          </w:p>
        </w:tc>
        <w:tc>
          <w:tcPr>
            <w:tcW w:w="1701" w:type="dxa"/>
          </w:tcPr>
          <w:p w14:paraId="23CD327D" w14:textId="77777777" w:rsidR="00531ADD" w:rsidRPr="00CF12F2" w:rsidRDefault="00531ADD" w:rsidP="001E2026">
            <w:pPr>
              <w:pStyle w:val="TAC"/>
            </w:pPr>
            <w:r w:rsidRPr="00CF12F2">
              <w:t>5 dBm/MHz</w:t>
            </w:r>
            <w:r>
              <w:t xml:space="preserve"> (AP)</w:t>
            </w:r>
          </w:p>
          <w:p w14:paraId="1216A075" w14:textId="77777777" w:rsidR="00531ADD" w:rsidRPr="00CF12F2" w:rsidRDefault="00531ADD" w:rsidP="001E2026">
            <w:pPr>
              <w:pStyle w:val="TAC"/>
            </w:pPr>
            <w:r w:rsidRPr="00CF12F2">
              <w:t>-1 dBm/MHz</w:t>
            </w:r>
            <w:r>
              <w:t xml:space="preserve"> (CL)</w:t>
            </w:r>
          </w:p>
        </w:tc>
        <w:tc>
          <w:tcPr>
            <w:tcW w:w="1559" w:type="dxa"/>
            <w:vMerge/>
          </w:tcPr>
          <w:p w14:paraId="09166114" w14:textId="77777777" w:rsidR="00531ADD" w:rsidRPr="00CF12F2" w:rsidRDefault="00531ADD" w:rsidP="001E2026">
            <w:pPr>
              <w:pStyle w:val="TAC"/>
              <w:jc w:val="left"/>
            </w:pPr>
          </w:p>
        </w:tc>
      </w:tr>
      <w:tr w:rsidR="00531ADD" w:rsidRPr="00A930D3" w14:paraId="5DF2BFBC" w14:textId="77777777" w:rsidTr="001E2026">
        <w:tc>
          <w:tcPr>
            <w:tcW w:w="1129" w:type="dxa"/>
          </w:tcPr>
          <w:p w14:paraId="4C443483" w14:textId="77777777" w:rsidR="00531ADD" w:rsidRPr="00A930D3" w:rsidRDefault="00531ADD" w:rsidP="001E2026">
            <w:pPr>
              <w:pStyle w:val="TAC"/>
            </w:pPr>
          </w:p>
        </w:tc>
        <w:tc>
          <w:tcPr>
            <w:tcW w:w="2410" w:type="dxa"/>
          </w:tcPr>
          <w:p w14:paraId="6F9F6D4A" w14:textId="77777777" w:rsidR="00531ADD" w:rsidRPr="00A930D3" w:rsidRDefault="00531ADD" w:rsidP="001E2026">
            <w:pPr>
              <w:pStyle w:val="TAC"/>
            </w:pPr>
          </w:p>
        </w:tc>
        <w:tc>
          <w:tcPr>
            <w:tcW w:w="1559" w:type="dxa"/>
          </w:tcPr>
          <w:p w14:paraId="523098B5" w14:textId="77777777" w:rsidR="00531ADD" w:rsidRPr="00A930D3" w:rsidRDefault="00531ADD" w:rsidP="001E2026">
            <w:pPr>
              <w:pStyle w:val="TAC"/>
            </w:pPr>
          </w:p>
        </w:tc>
        <w:tc>
          <w:tcPr>
            <w:tcW w:w="1418" w:type="dxa"/>
          </w:tcPr>
          <w:p w14:paraId="2D5F3617" w14:textId="77777777" w:rsidR="00531ADD" w:rsidRPr="00A930D3" w:rsidRDefault="00531ADD" w:rsidP="001E2026">
            <w:pPr>
              <w:pStyle w:val="TAC"/>
            </w:pPr>
          </w:p>
        </w:tc>
        <w:tc>
          <w:tcPr>
            <w:tcW w:w="1701" w:type="dxa"/>
          </w:tcPr>
          <w:p w14:paraId="38AADE22" w14:textId="77777777" w:rsidR="00531ADD" w:rsidRPr="00A930D3" w:rsidRDefault="00531ADD" w:rsidP="001E2026">
            <w:pPr>
              <w:pStyle w:val="TAC"/>
            </w:pPr>
          </w:p>
        </w:tc>
        <w:tc>
          <w:tcPr>
            <w:tcW w:w="1559" w:type="dxa"/>
          </w:tcPr>
          <w:p w14:paraId="0E1886A9" w14:textId="77777777" w:rsidR="00531ADD" w:rsidRPr="00A930D3" w:rsidRDefault="00531ADD" w:rsidP="001E2026">
            <w:pPr>
              <w:pStyle w:val="TAC"/>
            </w:pPr>
          </w:p>
        </w:tc>
      </w:tr>
      <w:tr w:rsidR="002E0796" w:rsidRPr="00A930D3" w14:paraId="0C5BBE5F" w14:textId="77777777" w:rsidTr="001E2026">
        <w:tc>
          <w:tcPr>
            <w:tcW w:w="1129" w:type="dxa"/>
            <w:vMerge w:val="restart"/>
          </w:tcPr>
          <w:p w14:paraId="44B26DEE" w14:textId="77777777" w:rsidR="002E0796" w:rsidRDefault="002E0796" w:rsidP="001E2026">
            <w:pPr>
              <w:pStyle w:val="TAC"/>
            </w:pPr>
            <w:r>
              <w:t>EU/CEPT</w:t>
            </w:r>
          </w:p>
        </w:tc>
        <w:tc>
          <w:tcPr>
            <w:tcW w:w="2410" w:type="dxa"/>
          </w:tcPr>
          <w:p w14:paraId="0C302D1D" w14:textId="77777777" w:rsidR="002E0796" w:rsidRDefault="002E0796" w:rsidP="001E2026">
            <w:pPr>
              <w:pStyle w:val="TAC"/>
              <w:jc w:val="left"/>
            </w:pPr>
            <w:r>
              <w:t>LPI: Restricted for indoor use only (including trains where metal coated windows are fitted and aircraft).</w:t>
            </w:r>
          </w:p>
          <w:p w14:paraId="2F3F695C" w14:textId="77777777" w:rsidR="002E0796" w:rsidRPr="00A930D3" w:rsidRDefault="002E0796" w:rsidP="001E2026">
            <w:pPr>
              <w:pStyle w:val="TAC"/>
              <w:jc w:val="left"/>
            </w:pPr>
            <w:r>
              <w:t>Outdoor use (including in road vehicles) is not permitted.</w:t>
            </w:r>
          </w:p>
        </w:tc>
        <w:tc>
          <w:tcPr>
            <w:tcW w:w="1559" w:type="dxa"/>
            <w:vMerge w:val="restart"/>
          </w:tcPr>
          <w:p w14:paraId="2EB9AE43" w14:textId="77777777" w:rsidR="002E0796" w:rsidRPr="00A930D3" w:rsidRDefault="002E0796" w:rsidP="001E2026">
            <w:pPr>
              <w:pStyle w:val="TAC"/>
            </w:pPr>
            <w:r w:rsidRPr="00A930D3">
              <w:t>59</w:t>
            </w:r>
            <w:r>
              <w:t>4</w:t>
            </w:r>
            <w:r w:rsidRPr="00A930D3">
              <w:t>5 - 6425MHz</w:t>
            </w:r>
          </w:p>
        </w:tc>
        <w:tc>
          <w:tcPr>
            <w:tcW w:w="1418" w:type="dxa"/>
          </w:tcPr>
          <w:p w14:paraId="245F10E4" w14:textId="77777777" w:rsidR="002E0796" w:rsidRPr="00A930D3" w:rsidRDefault="002E0796" w:rsidP="001E2026">
            <w:pPr>
              <w:pStyle w:val="TAC"/>
            </w:pPr>
            <w:r>
              <w:t>23dBm</w:t>
            </w:r>
          </w:p>
        </w:tc>
        <w:tc>
          <w:tcPr>
            <w:tcW w:w="1701" w:type="dxa"/>
          </w:tcPr>
          <w:p w14:paraId="6E17B86B" w14:textId="77777777" w:rsidR="002E0796" w:rsidRPr="00A930D3" w:rsidRDefault="002E0796" w:rsidP="001E2026">
            <w:pPr>
              <w:pStyle w:val="TAC"/>
            </w:pPr>
            <w:r>
              <w:t>10dBm/MHz</w:t>
            </w:r>
          </w:p>
        </w:tc>
        <w:tc>
          <w:tcPr>
            <w:tcW w:w="1559" w:type="dxa"/>
          </w:tcPr>
          <w:p w14:paraId="1F0AC68D" w14:textId="77777777" w:rsidR="002E0796" w:rsidRDefault="002E0796" w:rsidP="001E2026">
            <w:pPr>
              <w:pStyle w:val="TAC"/>
            </w:pPr>
            <w:r>
              <w:t xml:space="preserve">-22 dBm/MHz </w:t>
            </w:r>
          </w:p>
          <w:p w14:paraId="7B6FD56D" w14:textId="77777777" w:rsidR="002E0796" w:rsidRPr="00A930D3" w:rsidRDefault="002E0796" w:rsidP="001E2026">
            <w:pPr>
              <w:pStyle w:val="TAC"/>
            </w:pPr>
            <w:r>
              <w:t>(below 5935MHz)</w:t>
            </w:r>
          </w:p>
        </w:tc>
      </w:tr>
      <w:tr w:rsidR="002E0796" w:rsidRPr="00A930D3" w14:paraId="6AB6FACA" w14:textId="77777777" w:rsidTr="001E2026">
        <w:tc>
          <w:tcPr>
            <w:tcW w:w="1129" w:type="dxa"/>
            <w:vMerge/>
          </w:tcPr>
          <w:p w14:paraId="36A2FB15" w14:textId="77777777" w:rsidR="002E0796" w:rsidRPr="00A930D3" w:rsidRDefault="002E0796" w:rsidP="001E2026">
            <w:pPr>
              <w:pStyle w:val="TAC"/>
            </w:pPr>
          </w:p>
        </w:tc>
        <w:tc>
          <w:tcPr>
            <w:tcW w:w="2410" w:type="dxa"/>
          </w:tcPr>
          <w:p w14:paraId="258733CA" w14:textId="77777777" w:rsidR="002E0796" w:rsidRDefault="002E0796" w:rsidP="001E2026">
            <w:pPr>
              <w:pStyle w:val="TAC"/>
              <w:jc w:val="left"/>
            </w:pPr>
            <w:r>
              <w:t>VLP: Indoors and outdoors.</w:t>
            </w:r>
          </w:p>
          <w:p w14:paraId="4EDA9A15" w14:textId="77777777" w:rsidR="002E0796" w:rsidRPr="00A930D3" w:rsidRDefault="002E0796" w:rsidP="001E2026">
            <w:pPr>
              <w:pStyle w:val="TAC"/>
              <w:jc w:val="left"/>
            </w:pPr>
            <w:r>
              <w:t>Use on drones is prohibited. The VLP device is a portable device.</w:t>
            </w:r>
          </w:p>
        </w:tc>
        <w:tc>
          <w:tcPr>
            <w:tcW w:w="1559" w:type="dxa"/>
            <w:vMerge/>
          </w:tcPr>
          <w:p w14:paraId="3355FF55" w14:textId="77777777" w:rsidR="002E0796" w:rsidRPr="00A930D3" w:rsidRDefault="002E0796" w:rsidP="001E2026">
            <w:pPr>
              <w:pStyle w:val="TAC"/>
            </w:pPr>
          </w:p>
        </w:tc>
        <w:tc>
          <w:tcPr>
            <w:tcW w:w="1418" w:type="dxa"/>
          </w:tcPr>
          <w:p w14:paraId="05312258" w14:textId="77777777" w:rsidR="002E0796" w:rsidRPr="00A930D3" w:rsidRDefault="002E0796" w:rsidP="001E2026">
            <w:pPr>
              <w:pStyle w:val="TAC"/>
            </w:pPr>
            <w:r>
              <w:t>14dBm</w:t>
            </w:r>
          </w:p>
        </w:tc>
        <w:tc>
          <w:tcPr>
            <w:tcW w:w="1701" w:type="dxa"/>
          </w:tcPr>
          <w:p w14:paraId="37F49BEC" w14:textId="77777777" w:rsidR="002E0796" w:rsidRDefault="002E0796" w:rsidP="001E2026">
            <w:pPr>
              <w:pStyle w:val="TAC"/>
            </w:pPr>
            <w:r>
              <w:t>1dBm/MHz</w:t>
            </w:r>
          </w:p>
          <w:p w14:paraId="48FF41DD" w14:textId="3E0E9197" w:rsidR="00C566D8" w:rsidRPr="00A930D3" w:rsidRDefault="00C566D8" w:rsidP="001E2026">
            <w:pPr>
              <w:pStyle w:val="TAC"/>
            </w:pPr>
            <w:r>
              <w:t>10dBm/MHz (for the narrowband usage)</w:t>
            </w:r>
          </w:p>
        </w:tc>
        <w:tc>
          <w:tcPr>
            <w:tcW w:w="1559" w:type="dxa"/>
          </w:tcPr>
          <w:p w14:paraId="038EA876" w14:textId="77777777" w:rsidR="002E0796" w:rsidRDefault="002E0796" w:rsidP="001E2026">
            <w:pPr>
              <w:pStyle w:val="TAC"/>
            </w:pPr>
            <w:r>
              <w:t>-45 dBm/MHz</w:t>
            </w:r>
          </w:p>
          <w:p w14:paraId="12E15CEF" w14:textId="54D196B7" w:rsidR="002E0796" w:rsidRPr="00A930D3" w:rsidRDefault="002E0796" w:rsidP="001E2026">
            <w:pPr>
              <w:pStyle w:val="TAC"/>
            </w:pPr>
            <w:r>
              <w:t>(below 5935MHz); see NOTE1</w:t>
            </w:r>
          </w:p>
        </w:tc>
      </w:tr>
      <w:tr w:rsidR="002E0796" w:rsidRPr="00A930D3" w14:paraId="2700815E" w14:textId="77777777" w:rsidTr="00C82006">
        <w:tc>
          <w:tcPr>
            <w:tcW w:w="1129" w:type="dxa"/>
            <w:vMerge/>
          </w:tcPr>
          <w:p w14:paraId="57B0FDBB" w14:textId="77777777" w:rsidR="002E0796" w:rsidRPr="00A930D3" w:rsidRDefault="002E0796" w:rsidP="001E2026">
            <w:pPr>
              <w:pStyle w:val="TAC"/>
            </w:pPr>
          </w:p>
        </w:tc>
        <w:tc>
          <w:tcPr>
            <w:tcW w:w="8647" w:type="dxa"/>
            <w:gridSpan w:val="5"/>
          </w:tcPr>
          <w:p w14:paraId="3E142C9E" w14:textId="0B3F3F39" w:rsidR="002E0796" w:rsidRDefault="002E0796" w:rsidP="002E0796">
            <w:pPr>
              <w:pStyle w:val="TAC"/>
              <w:jc w:val="left"/>
            </w:pPr>
            <w:r w:rsidRPr="002E0796">
              <w:t>NOTE1: ECC will study the appropriateness of this level of OOBE by 31/12/2024. In absence of the justified evidence, a value of -37 dBm/MHz will be adopted from 1 January 2025</w:t>
            </w:r>
          </w:p>
        </w:tc>
      </w:tr>
    </w:tbl>
    <w:p w14:paraId="08BFF98B" w14:textId="77777777" w:rsidR="00531ADD" w:rsidRDefault="00531ADD" w:rsidP="00531ADD"/>
    <w:p w14:paraId="47D4FB06" w14:textId="77777777" w:rsidR="00531ADD" w:rsidRDefault="00531ADD" w:rsidP="00531ADD"/>
    <w:tbl>
      <w:tblPr>
        <w:tblStyle w:val="TableGrid"/>
        <w:tblW w:w="9776" w:type="dxa"/>
        <w:tblLook w:val="04A0" w:firstRow="1" w:lastRow="0" w:firstColumn="1" w:lastColumn="0" w:noHBand="0" w:noVBand="1"/>
      </w:tblPr>
      <w:tblGrid>
        <w:gridCol w:w="1129"/>
        <w:gridCol w:w="2410"/>
        <w:gridCol w:w="1559"/>
        <w:gridCol w:w="1418"/>
        <w:gridCol w:w="1701"/>
        <w:gridCol w:w="1559"/>
      </w:tblGrid>
      <w:tr w:rsidR="00531ADD" w14:paraId="24A89EB9" w14:textId="77777777" w:rsidTr="001E2026">
        <w:tc>
          <w:tcPr>
            <w:tcW w:w="1129" w:type="dxa"/>
          </w:tcPr>
          <w:p w14:paraId="50AEF17E" w14:textId="77777777" w:rsidR="00531ADD" w:rsidRDefault="00531ADD" w:rsidP="001E2026">
            <w:pPr>
              <w:pStyle w:val="TAH"/>
            </w:pPr>
            <w:r>
              <w:lastRenderedPageBreak/>
              <w:t>Country</w:t>
            </w:r>
          </w:p>
        </w:tc>
        <w:tc>
          <w:tcPr>
            <w:tcW w:w="2410" w:type="dxa"/>
          </w:tcPr>
          <w:p w14:paraId="62734038" w14:textId="77777777" w:rsidR="00531ADD" w:rsidRDefault="00531ADD" w:rsidP="001E2026">
            <w:pPr>
              <w:pStyle w:val="TAH"/>
            </w:pPr>
            <w:r>
              <w:t>Permissible operation</w:t>
            </w:r>
          </w:p>
        </w:tc>
        <w:tc>
          <w:tcPr>
            <w:tcW w:w="1559" w:type="dxa"/>
          </w:tcPr>
          <w:p w14:paraId="7A738F30" w14:textId="77777777" w:rsidR="00531ADD" w:rsidRDefault="00531ADD" w:rsidP="001E2026">
            <w:pPr>
              <w:pStyle w:val="TAH"/>
            </w:pPr>
            <w:r>
              <w:t>Frequency range</w:t>
            </w:r>
          </w:p>
        </w:tc>
        <w:tc>
          <w:tcPr>
            <w:tcW w:w="1418" w:type="dxa"/>
          </w:tcPr>
          <w:p w14:paraId="3E492564" w14:textId="77777777" w:rsidR="00531ADD" w:rsidRDefault="00531ADD" w:rsidP="001E2026">
            <w:pPr>
              <w:pStyle w:val="TAH"/>
            </w:pPr>
            <w:r w:rsidRPr="00A930D3">
              <w:t>Maximum mean EIRP for in-band emissions</w:t>
            </w:r>
          </w:p>
        </w:tc>
        <w:tc>
          <w:tcPr>
            <w:tcW w:w="1701" w:type="dxa"/>
          </w:tcPr>
          <w:p w14:paraId="172C3809" w14:textId="77777777" w:rsidR="00531ADD" w:rsidRDefault="00531ADD" w:rsidP="001E2026">
            <w:pPr>
              <w:pStyle w:val="TAH"/>
            </w:pPr>
            <w:r w:rsidRPr="00A930D3">
              <w:t>Maximum mean EIRP density for in-band emissions</w:t>
            </w:r>
          </w:p>
        </w:tc>
        <w:tc>
          <w:tcPr>
            <w:tcW w:w="1559" w:type="dxa"/>
          </w:tcPr>
          <w:p w14:paraId="166E686B" w14:textId="77777777" w:rsidR="00531ADD" w:rsidRDefault="00531ADD" w:rsidP="001E2026">
            <w:pPr>
              <w:pStyle w:val="TAH"/>
            </w:pPr>
            <w:r w:rsidRPr="00A930D3">
              <w:t>Maximum mean EIRP density for out-of-band emissions</w:t>
            </w:r>
          </w:p>
        </w:tc>
      </w:tr>
      <w:tr w:rsidR="00531ADD" w14:paraId="06491C03" w14:textId="77777777" w:rsidTr="001E2026">
        <w:tc>
          <w:tcPr>
            <w:tcW w:w="1129" w:type="dxa"/>
            <w:vMerge w:val="restart"/>
          </w:tcPr>
          <w:p w14:paraId="73DDEE7A" w14:textId="77777777" w:rsidR="00531ADD" w:rsidRPr="00A930D3" w:rsidRDefault="00531ADD" w:rsidP="001E2026">
            <w:pPr>
              <w:pStyle w:val="TAC"/>
            </w:pPr>
            <w:r>
              <w:t>South Korea</w:t>
            </w:r>
          </w:p>
        </w:tc>
        <w:tc>
          <w:tcPr>
            <w:tcW w:w="2410" w:type="dxa"/>
          </w:tcPr>
          <w:p w14:paraId="2412C545" w14:textId="77777777" w:rsidR="00531ADD" w:rsidRDefault="00531ADD" w:rsidP="001E2026">
            <w:pPr>
              <w:pStyle w:val="TAC"/>
              <w:jc w:val="left"/>
            </w:pPr>
            <w:r>
              <w:t>LPI: A</w:t>
            </w:r>
            <w:r w:rsidRPr="00997B9E">
              <w:t xml:space="preserve"> device shall use power supply from a wired connection, and a client battery powered device must communicate through the device connected to a wired power supply</w:t>
            </w:r>
            <w:r>
              <w:t>. T</w:t>
            </w:r>
            <w:r w:rsidRPr="00997B9E">
              <w:t>his frequency range cannot be used for indoor automotive or airplane deployments</w:t>
            </w:r>
            <w:r>
              <w:t>. U</w:t>
            </w:r>
            <w:r w:rsidRPr="00997B9E">
              <w:t>sage inside moving vehicles is prohibited</w:t>
            </w:r>
          </w:p>
        </w:tc>
        <w:tc>
          <w:tcPr>
            <w:tcW w:w="1559" w:type="dxa"/>
          </w:tcPr>
          <w:p w14:paraId="7F26A0C9" w14:textId="77777777" w:rsidR="00531ADD" w:rsidRPr="00A930D3" w:rsidRDefault="00531ADD" w:rsidP="001E2026">
            <w:pPr>
              <w:pStyle w:val="TAC"/>
            </w:pPr>
            <w:r w:rsidRPr="00A930D3">
              <w:t xml:space="preserve">5925 - </w:t>
            </w:r>
            <w:r>
              <w:t>7125</w:t>
            </w:r>
            <w:r w:rsidRPr="00A930D3">
              <w:t>MHz</w:t>
            </w:r>
          </w:p>
        </w:tc>
        <w:tc>
          <w:tcPr>
            <w:tcW w:w="1418" w:type="dxa"/>
          </w:tcPr>
          <w:p w14:paraId="07F32C1E" w14:textId="77777777" w:rsidR="00531ADD" w:rsidRDefault="00531ADD" w:rsidP="001E2026">
            <w:pPr>
              <w:pStyle w:val="TAC"/>
            </w:pPr>
            <w:r>
              <w:t>24dBm</w:t>
            </w:r>
          </w:p>
        </w:tc>
        <w:tc>
          <w:tcPr>
            <w:tcW w:w="1701" w:type="dxa"/>
          </w:tcPr>
          <w:p w14:paraId="16F0405C" w14:textId="77777777" w:rsidR="00531ADD" w:rsidRDefault="00531ADD" w:rsidP="001E2026">
            <w:pPr>
              <w:pStyle w:val="TAC"/>
            </w:pPr>
            <w:r>
              <w:t>2dBm/MHz</w:t>
            </w:r>
          </w:p>
        </w:tc>
        <w:tc>
          <w:tcPr>
            <w:tcW w:w="1559" w:type="dxa"/>
          </w:tcPr>
          <w:p w14:paraId="19E1CB83" w14:textId="77777777" w:rsidR="00531ADD" w:rsidRDefault="00531ADD" w:rsidP="001E2026">
            <w:pPr>
              <w:pStyle w:val="TAC"/>
            </w:pPr>
            <w:r>
              <w:t>-27 dBm/MHz (outside operational range)</w:t>
            </w:r>
          </w:p>
        </w:tc>
      </w:tr>
      <w:tr w:rsidR="00531ADD" w14:paraId="411DABA6" w14:textId="77777777" w:rsidTr="001E2026">
        <w:tc>
          <w:tcPr>
            <w:tcW w:w="1129" w:type="dxa"/>
            <w:vMerge/>
          </w:tcPr>
          <w:p w14:paraId="3DC45424" w14:textId="77777777" w:rsidR="00531ADD" w:rsidRPr="00A930D3" w:rsidRDefault="00531ADD" w:rsidP="001E2026">
            <w:pPr>
              <w:pStyle w:val="TAC"/>
            </w:pPr>
          </w:p>
        </w:tc>
        <w:tc>
          <w:tcPr>
            <w:tcW w:w="2410" w:type="dxa"/>
          </w:tcPr>
          <w:p w14:paraId="2FDCB3A2" w14:textId="77777777" w:rsidR="00531ADD" w:rsidRDefault="00531ADD" w:rsidP="001E2026">
            <w:pPr>
              <w:pStyle w:val="TAC"/>
              <w:jc w:val="left"/>
            </w:pPr>
            <w:r>
              <w:t>VLP: Very low power indoor and outdoor usage.</w:t>
            </w:r>
          </w:p>
        </w:tc>
        <w:tc>
          <w:tcPr>
            <w:tcW w:w="1559" w:type="dxa"/>
          </w:tcPr>
          <w:p w14:paraId="40E41D6D" w14:textId="77777777" w:rsidR="00531ADD" w:rsidRPr="00A930D3" w:rsidRDefault="00531ADD" w:rsidP="001E2026">
            <w:pPr>
              <w:pStyle w:val="TAC"/>
            </w:pPr>
            <w:r w:rsidRPr="00A930D3">
              <w:t>5925 - 6425MHz</w:t>
            </w:r>
          </w:p>
        </w:tc>
        <w:tc>
          <w:tcPr>
            <w:tcW w:w="1418" w:type="dxa"/>
          </w:tcPr>
          <w:p w14:paraId="0A49B4B2" w14:textId="77777777" w:rsidR="00531ADD" w:rsidRDefault="00531ADD" w:rsidP="001E2026">
            <w:pPr>
              <w:pStyle w:val="TAC"/>
            </w:pPr>
            <w:r>
              <w:t>14dBm</w:t>
            </w:r>
          </w:p>
        </w:tc>
        <w:tc>
          <w:tcPr>
            <w:tcW w:w="1701" w:type="dxa"/>
          </w:tcPr>
          <w:p w14:paraId="48A5B8D3" w14:textId="77777777" w:rsidR="00531ADD" w:rsidRDefault="00531ADD" w:rsidP="001E2026">
            <w:pPr>
              <w:pStyle w:val="TAC"/>
            </w:pPr>
            <w:r>
              <w:t>1dBm/MHz</w:t>
            </w:r>
          </w:p>
        </w:tc>
        <w:tc>
          <w:tcPr>
            <w:tcW w:w="1559" w:type="dxa"/>
          </w:tcPr>
          <w:p w14:paraId="18B05E48" w14:textId="77777777" w:rsidR="00531ADD" w:rsidRDefault="00531ADD" w:rsidP="001E2026">
            <w:pPr>
              <w:pStyle w:val="TAC"/>
            </w:pPr>
            <w:r>
              <w:t>-34 dBm/MHz (outside operational range)</w:t>
            </w:r>
          </w:p>
        </w:tc>
      </w:tr>
      <w:tr w:rsidR="00531ADD" w14:paraId="796DBE56" w14:textId="77777777" w:rsidTr="001E2026">
        <w:tc>
          <w:tcPr>
            <w:tcW w:w="1129" w:type="dxa"/>
          </w:tcPr>
          <w:p w14:paraId="2A4EE1B0" w14:textId="77777777" w:rsidR="00531ADD" w:rsidRDefault="00531ADD" w:rsidP="001E2026">
            <w:pPr>
              <w:pStyle w:val="TAC"/>
            </w:pPr>
          </w:p>
        </w:tc>
        <w:tc>
          <w:tcPr>
            <w:tcW w:w="2410" w:type="dxa"/>
          </w:tcPr>
          <w:p w14:paraId="2F34E35F" w14:textId="77777777" w:rsidR="00531ADD" w:rsidRDefault="00531ADD" w:rsidP="001E2026">
            <w:pPr>
              <w:pStyle w:val="TAC"/>
              <w:jc w:val="left"/>
            </w:pPr>
          </w:p>
        </w:tc>
        <w:tc>
          <w:tcPr>
            <w:tcW w:w="1559" w:type="dxa"/>
          </w:tcPr>
          <w:p w14:paraId="1B038376" w14:textId="77777777" w:rsidR="00531ADD" w:rsidRPr="00A930D3" w:rsidRDefault="00531ADD" w:rsidP="001E2026">
            <w:pPr>
              <w:pStyle w:val="TAC"/>
            </w:pPr>
          </w:p>
        </w:tc>
        <w:tc>
          <w:tcPr>
            <w:tcW w:w="1418" w:type="dxa"/>
          </w:tcPr>
          <w:p w14:paraId="70D7186F" w14:textId="77777777" w:rsidR="00531ADD" w:rsidRDefault="00531ADD" w:rsidP="001E2026">
            <w:pPr>
              <w:pStyle w:val="TAC"/>
            </w:pPr>
          </w:p>
        </w:tc>
        <w:tc>
          <w:tcPr>
            <w:tcW w:w="1701" w:type="dxa"/>
          </w:tcPr>
          <w:p w14:paraId="06D160F9" w14:textId="77777777" w:rsidR="00531ADD" w:rsidRDefault="00531ADD" w:rsidP="001E2026">
            <w:pPr>
              <w:pStyle w:val="TAC"/>
            </w:pPr>
          </w:p>
        </w:tc>
        <w:tc>
          <w:tcPr>
            <w:tcW w:w="1559" w:type="dxa"/>
          </w:tcPr>
          <w:p w14:paraId="2981F3AB" w14:textId="77777777" w:rsidR="00531ADD" w:rsidRDefault="00531ADD" w:rsidP="001E2026">
            <w:pPr>
              <w:pStyle w:val="TAC"/>
            </w:pPr>
          </w:p>
        </w:tc>
      </w:tr>
      <w:tr w:rsidR="00531ADD" w14:paraId="2301713A" w14:textId="77777777" w:rsidTr="001E2026">
        <w:tc>
          <w:tcPr>
            <w:tcW w:w="1129" w:type="dxa"/>
            <w:vMerge w:val="restart"/>
          </w:tcPr>
          <w:p w14:paraId="022BD392" w14:textId="77777777" w:rsidR="00531ADD" w:rsidRPr="00A930D3" w:rsidRDefault="00531ADD" w:rsidP="001E2026">
            <w:pPr>
              <w:pStyle w:val="TAC"/>
            </w:pPr>
            <w:r>
              <w:t>Brazil</w:t>
            </w:r>
          </w:p>
        </w:tc>
        <w:tc>
          <w:tcPr>
            <w:tcW w:w="2410" w:type="dxa"/>
          </w:tcPr>
          <w:p w14:paraId="666031EC" w14:textId="77777777" w:rsidR="00531ADD" w:rsidRDefault="00531ADD" w:rsidP="001E2026">
            <w:pPr>
              <w:pStyle w:val="TAC"/>
              <w:jc w:val="left"/>
            </w:pPr>
            <w:r>
              <w:t xml:space="preserve">LPI: </w:t>
            </w:r>
            <w:r w:rsidRPr="009B0895">
              <w:t xml:space="preserve">The </w:t>
            </w:r>
            <w:r>
              <w:t xml:space="preserve">AP </w:t>
            </w:r>
            <w:r w:rsidRPr="009B0895">
              <w:t>equipment must be used only in an indoor environment.</w:t>
            </w:r>
            <w:r>
              <w:t xml:space="preserve"> </w:t>
            </w:r>
            <w:r w:rsidRPr="009B0895">
              <w:t>It must be powered directly by the electric power network, and battery power is not allowed</w:t>
            </w:r>
            <w:r>
              <w:t xml:space="preserve">. </w:t>
            </w:r>
            <w:r w:rsidRPr="009B0895">
              <w:t>Their physical structures cannot be protected against bad weather</w:t>
            </w:r>
            <w:r>
              <w:t xml:space="preserve">. </w:t>
            </w:r>
            <w:r w:rsidRPr="009B0895">
              <w:t>The operation is prohibited on oil extraction platforms, cars, trains, boats and aircraft, with the exception of operation in the 5.925-6.425 GHz band inside large aircraft flying above 3,048m</w:t>
            </w:r>
            <w:r>
              <w:t>. Client equipment must operate under the control of an indoor AP.</w:t>
            </w:r>
          </w:p>
        </w:tc>
        <w:tc>
          <w:tcPr>
            <w:tcW w:w="1559" w:type="dxa"/>
            <w:vMerge w:val="restart"/>
          </w:tcPr>
          <w:p w14:paraId="1368192F" w14:textId="77777777" w:rsidR="00531ADD" w:rsidRPr="00A930D3" w:rsidRDefault="00531ADD" w:rsidP="001E2026">
            <w:pPr>
              <w:pStyle w:val="TAC"/>
            </w:pPr>
            <w:r w:rsidRPr="00A930D3">
              <w:t xml:space="preserve">5925 - </w:t>
            </w:r>
            <w:r>
              <w:t>7125</w:t>
            </w:r>
            <w:r w:rsidRPr="00A930D3">
              <w:t>MHz</w:t>
            </w:r>
          </w:p>
        </w:tc>
        <w:tc>
          <w:tcPr>
            <w:tcW w:w="1418" w:type="dxa"/>
          </w:tcPr>
          <w:p w14:paraId="1B9AE084" w14:textId="77777777" w:rsidR="00531ADD" w:rsidRDefault="00531ADD" w:rsidP="001E2026">
            <w:pPr>
              <w:pStyle w:val="TAC"/>
            </w:pPr>
            <w:r>
              <w:t>30dBm (AP)</w:t>
            </w:r>
          </w:p>
          <w:p w14:paraId="1FA3E386" w14:textId="77777777" w:rsidR="00531ADD" w:rsidRDefault="00531ADD" w:rsidP="001E2026">
            <w:pPr>
              <w:pStyle w:val="TAC"/>
            </w:pPr>
            <w:r>
              <w:t>24dBm (CL)</w:t>
            </w:r>
          </w:p>
        </w:tc>
        <w:tc>
          <w:tcPr>
            <w:tcW w:w="1701" w:type="dxa"/>
          </w:tcPr>
          <w:p w14:paraId="6D5C4EAA" w14:textId="77777777" w:rsidR="00531ADD" w:rsidRDefault="00531ADD" w:rsidP="001E2026">
            <w:pPr>
              <w:pStyle w:val="TAC"/>
            </w:pPr>
            <w:r>
              <w:t>5dBm/MHz (AP)</w:t>
            </w:r>
          </w:p>
          <w:p w14:paraId="0942B870" w14:textId="77777777" w:rsidR="00531ADD" w:rsidRDefault="00531ADD" w:rsidP="001E2026">
            <w:pPr>
              <w:pStyle w:val="TAC"/>
            </w:pPr>
            <w:r>
              <w:t>-1dBm/MHz (CL)</w:t>
            </w:r>
          </w:p>
        </w:tc>
        <w:tc>
          <w:tcPr>
            <w:tcW w:w="1559" w:type="dxa"/>
            <w:vMerge w:val="restart"/>
          </w:tcPr>
          <w:p w14:paraId="5FAA4AB8" w14:textId="77777777" w:rsidR="00531ADD" w:rsidRDefault="00531ADD" w:rsidP="001E2026">
            <w:pPr>
              <w:pStyle w:val="TAC"/>
            </w:pPr>
            <w:r>
              <w:t>-27 dBm/MHz (outside operational range)</w:t>
            </w:r>
          </w:p>
        </w:tc>
      </w:tr>
      <w:tr w:rsidR="00531ADD" w14:paraId="2D5A5884" w14:textId="77777777" w:rsidTr="001E2026">
        <w:tc>
          <w:tcPr>
            <w:tcW w:w="1129" w:type="dxa"/>
            <w:vMerge/>
          </w:tcPr>
          <w:p w14:paraId="096185A1" w14:textId="77777777" w:rsidR="00531ADD" w:rsidRPr="00A930D3" w:rsidRDefault="00531ADD" w:rsidP="001E2026">
            <w:pPr>
              <w:pStyle w:val="TAC"/>
            </w:pPr>
          </w:p>
        </w:tc>
        <w:tc>
          <w:tcPr>
            <w:tcW w:w="2410" w:type="dxa"/>
          </w:tcPr>
          <w:p w14:paraId="7D5036DE" w14:textId="77777777" w:rsidR="00531ADD" w:rsidRDefault="00531ADD" w:rsidP="001E2026">
            <w:pPr>
              <w:pStyle w:val="TAC"/>
              <w:jc w:val="left"/>
            </w:pPr>
            <w:r>
              <w:t>VLP: Very low power indoor and outdoor usage</w:t>
            </w:r>
          </w:p>
        </w:tc>
        <w:tc>
          <w:tcPr>
            <w:tcW w:w="1559" w:type="dxa"/>
            <w:vMerge/>
          </w:tcPr>
          <w:p w14:paraId="0955EA7F" w14:textId="77777777" w:rsidR="00531ADD" w:rsidRPr="00A930D3" w:rsidRDefault="00531ADD" w:rsidP="001E2026">
            <w:pPr>
              <w:pStyle w:val="TAC"/>
            </w:pPr>
          </w:p>
        </w:tc>
        <w:tc>
          <w:tcPr>
            <w:tcW w:w="1418" w:type="dxa"/>
          </w:tcPr>
          <w:p w14:paraId="4011C9C0" w14:textId="77777777" w:rsidR="00531ADD" w:rsidRDefault="00531ADD" w:rsidP="001E2026">
            <w:pPr>
              <w:pStyle w:val="TAC"/>
            </w:pPr>
            <w:r>
              <w:t>17 dBm</w:t>
            </w:r>
          </w:p>
        </w:tc>
        <w:tc>
          <w:tcPr>
            <w:tcW w:w="1701" w:type="dxa"/>
          </w:tcPr>
          <w:p w14:paraId="0575ACC3" w14:textId="77777777" w:rsidR="00531ADD" w:rsidRDefault="00531ADD" w:rsidP="001E2026">
            <w:pPr>
              <w:pStyle w:val="TAC"/>
            </w:pPr>
            <w:r>
              <w:t>-5 dBm/MHz</w:t>
            </w:r>
          </w:p>
        </w:tc>
        <w:tc>
          <w:tcPr>
            <w:tcW w:w="1559" w:type="dxa"/>
            <w:vMerge/>
          </w:tcPr>
          <w:p w14:paraId="0E71586F" w14:textId="77777777" w:rsidR="00531ADD" w:rsidRDefault="00531ADD" w:rsidP="001E2026">
            <w:pPr>
              <w:pStyle w:val="TAC"/>
            </w:pPr>
          </w:p>
        </w:tc>
      </w:tr>
      <w:tr w:rsidR="00531ADD" w14:paraId="199C6A3B" w14:textId="77777777" w:rsidTr="001E2026">
        <w:tc>
          <w:tcPr>
            <w:tcW w:w="1129" w:type="dxa"/>
          </w:tcPr>
          <w:p w14:paraId="7E0290A6" w14:textId="77777777" w:rsidR="00531ADD" w:rsidRPr="00A930D3" w:rsidRDefault="00531ADD" w:rsidP="001E2026">
            <w:pPr>
              <w:pStyle w:val="TAC"/>
            </w:pPr>
          </w:p>
        </w:tc>
        <w:tc>
          <w:tcPr>
            <w:tcW w:w="2410" w:type="dxa"/>
          </w:tcPr>
          <w:p w14:paraId="43742232" w14:textId="77777777" w:rsidR="00531ADD" w:rsidRDefault="00531ADD" w:rsidP="001E2026">
            <w:pPr>
              <w:pStyle w:val="TAC"/>
              <w:jc w:val="left"/>
            </w:pPr>
          </w:p>
        </w:tc>
        <w:tc>
          <w:tcPr>
            <w:tcW w:w="1559" w:type="dxa"/>
          </w:tcPr>
          <w:p w14:paraId="5950B599" w14:textId="77777777" w:rsidR="00531ADD" w:rsidRPr="00A930D3" w:rsidRDefault="00531ADD" w:rsidP="001E2026">
            <w:pPr>
              <w:pStyle w:val="TAC"/>
            </w:pPr>
          </w:p>
        </w:tc>
        <w:tc>
          <w:tcPr>
            <w:tcW w:w="1418" w:type="dxa"/>
          </w:tcPr>
          <w:p w14:paraId="08539BD5" w14:textId="77777777" w:rsidR="00531ADD" w:rsidRDefault="00531ADD" w:rsidP="001E2026">
            <w:pPr>
              <w:pStyle w:val="TAC"/>
            </w:pPr>
          </w:p>
        </w:tc>
        <w:tc>
          <w:tcPr>
            <w:tcW w:w="1701" w:type="dxa"/>
          </w:tcPr>
          <w:p w14:paraId="0A8DE76A" w14:textId="77777777" w:rsidR="00531ADD" w:rsidRDefault="00531ADD" w:rsidP="001E2026">
            <w:pPr>
              <w:pStyle w:val="TAC"/>
            </w:pPr>
          </w:p>
        </w:tc>
        <w:tc>
          <w:tcPr>
            <w:tcW w:w="1559" w:type="dxa"/>
          </w:tcPr>
          <w:p w14:paraId="00F3875B" w14:textId="77777777" w:rsidR="00531ADD" w:rsidRDefault="00531ADD" w:rsidP="001E2026">
            <w:pPr>
              <w:pStyle w:val="TAC"/>
            </w:pPr>
          </w:p>
        </w:tc>
      </w:tr>
    </w:tbl>
    <w:p w14:paraId="20A40771" w14:textId="77777777" w:rsidR="00531ADD" w:rsidRDefault="00531ADD" w:rsidP="00531ADD"/>
    <w:p w14:paraId="2F15E96F" w14:textId="7448B709" w:rsidR="00505CAC" w:rsidRDefault="00505CAC">
      <w:pPr>
        <w:spacing w:after="0"/>
      </w:pPr>
      <w:r>
        <w:br w:type="page"/>
      </w:r>
    </w:p>
    <w:tbl>
      <w:tblPr>
        <w:tblStyle w:val="TableGrid"/>
        <w:tblW w:w="9776" w:type="dxa"/>
        <w:tblLook w:val="04A0" w:firstRow="1" w:lastRow="0" w:firstColumn="1" w:lastColumn="0" w:noHBand="0" w:noVBand="1"/>
      </w:tblPr>
      <w:tblGrid>
        <w:gridCol w:w="1129"/>
        <w:gridCol w:w="2410"/>
        <w:gridCol w:w="1559"/>
        <w:gridCol w:w="1418"/>
        <w:gridCol w:w="1701"/>
        <w:gridCol w:w="1559"/>
      </w:tblGrid>
      <w:tr w:rsidR="00505CAC" w14:paraId="3DC056ED" w14:textId="77777777" w:rsidTr="00B564A8">
        <w:tc>
          <w:tcPr>
            <w:tcW w:w="1129" w:type="dxa"/>
          </w:tcPr>
          <w:p w14:paraId="73D43671" w14:textId="77777777" w:rsidR="00505CAC" w:rsidRDefault="00505CAC" w:rsidP="00B564A8">
            <w:pPr>
              <w:pStyle w:val="TAH"/>
            </w:pPr>
            <w:r>
              <w:lastRenderedPageBreak/>
              <w:t>Country</w:t>
            </w:r>
          </w:p>
        </w:tc>
        <w:tc>
          <w:tcPr>
            <w:tcW w:w="2410" w:type="dxa"/>
          </w:tcPr>
          <w:p w14:paraId="2F39773A" w14:textId="77777777" w:rsidR="00505CAC" w:rsidRDefault="00505CAC" w:rsidP="00B564A8">
            <w:pPr>
              <w:pStyle w:val="TAH"/>
            </w:pPr>
            <w:r>
              <w:t>Permissible operation</w:t>
            </w:r>
          </w:p>
        </w:tc>
        <w:tc>
          <w:tcPr>
            <w:tcW w:w="1559" w:type="dxa"/>
          </w:tcPr>
          <w:p w14:paraId="4A9FAE62" w14:textId="77777777" w:rsidR="00505CAC" w:rsidRDefault="00505CAC" w:rsidP="00B564A8">
            <w:pPr>
              <w:pStyle w:val="TAH"/>
            </w:pPr>
            <w:r>
              <w:t>Frequency range</w:t>
            </w:r>
          </w:p>
        </w:tc>
        <w:tc>
          <w:tcPr>
            <w:tcW w:w="1418" w:type="dxa"/>
          </w:tcPr>
          <w:p w14:paraId="6AF1B5EC" w14:textId="77777777" w:rsidR="00505CAC" w:rsidRDefault="00505CAC" w:rsidP="00B564A8">
            <w:pPr>
              <w:pStyle w:val="TAH"/>
            </w:pPr>
            <w:r w:rsidRPr="00A930D3">
              <w:t>Maximum mean EIRP for in-band emissions</w:t>
            </w:r>
          </w:p>
        </w:tc>
        <w:tc>
          <w:tcPr>
            <w:tcW w:w="1701" w:type="dxa"/>
          </w:tcPr>
          <w:p w14:paraId="55DD1425" w14:textId="77777777" w:rsidR="00505CAC" w:rsidRDefault="00505CAC" w:rsidP="00B564A8">
            <w:pPr>
              <w:pStyle w:val="TAH"/>
            </w:pPr>
            <w:r w:rsidRPr="00A930D3">
              <w:t>Maximum mean EIRP density for in-band emissions</w:t>
            </w:r>
          </w:p>
        </w:tc>
        <w:tc>
          <w:tcPr>
            <w:tcW w:w="1559" w:type="dxa"/>
          </w:tcPr>
          <w:p w14:paraId="1D5AC18F" w14:textId="77777777" w:rsidR="00505CAC" w:rsidRDefault="00505CAC" w:rsidP="00B564A8">
            <w:pPr>
              <w:pStyle w:val="TAH"/>
            </w:pPr>
            <w:r w:rsidRPr="00A930D3">
              <w:t>Maximum mean EIRP density for out-of-band emissions</w:t>
            </w:r>
          </w:p>
        </w:tc>
      </w:tr>
      <w:tr w:rsidR="00505CAC" w14:paraId="4DF14980" w14:textId="77777777" w:rsidTr="00B564A8">
        <w:tc>
          <w:tcPr>
            <w:tcW w:w="1129" w:type="dxa"/>
            <w:vMerge w:val="restart"/>
          </w:tcPr>
          <w:p w14:paraId="16D3A2FC" w14:textId="30170883" w:rsidR="00505CAC" w:rsidRPr="00A930D3" w:rsidRDefault="00505CAC" w:rsidP="00B564A8">
            <w:pPr>
              <w:pStyle w:val="TAC"/>
            </w:pPr>
            <w:r>
              <w:t>UK</w:t>
            </w:r>
          </w:p>
        </w:tc>
        <w:tc>
          <w:tcPr>
            <w:tcW w:w="2410" w:type="dxa"/>
          </w:tcPr>
          <w:p w14:paraId="50204BB4" w14:textId="3FFBCB49" w:rsidR="00505CAC" w:rsidRDefault="00505CAC" w:rsidP="00B564A8">
            <w:pPr>
              <w:pStyle w:val="TAC"/>
              <w:jc w:val="left"/>
            </w:pPr>
            <w:r>
              <w:t xml:space="preserve">LPI: </w:t>
            </w:r>
            <w:r w:rsidRPr="00505CAC">
              <w:t>The Low Power Indoor apparatus may only be used within a building, onboard an aircraft or in any other enclosed space with attenuation characteristics at least as strong as those of either a building or an aircraf</w:t>
            </w:r>
            <w:r>
              <w:t>t.</w:t>
            </w:r>
          </w:p>
        </w:tc>
        <w:tc>
          <w:tcPr>
            <w:tcW w:w="1559" w:type="dxa"/>
            <w:vMerge w:val="restart"/>
          </w:tcPr>
          <w:p w14:paraId="02050E0A" w14:textId="149958F1" w:rsidR="00505CAC" w:rsidRPr="00A930D3" w:rsidRDefault="00505CAC" w:rsidP="00B564A8">
            <w:pPr>
              <w:pStyle w:val="TAC"/>
            </w:pPr>
            <w:r w:rsidRPr="00A930D3">
              <w:t xml:space="preserve">5925 - </w:t>
            </w:r>
            <w:r>
              <w:t>6425</w:t>
            </w:r>
            <w:r w:rsidRPr="00A930D3">
              <w:t>MHz</w:t>
            </w:r>
          </w:p>
        </w:tc>
        <w:tc>
          <w:tcPr>
            <w:tcW w:w="1418" w:type="dxa"/>
          </w:tcPr>
          <w:p w14:paraId="16F83A5A" w14:textId="77777777" w:rsidR="00505CAC" w:rsidRDefault="00505CAC" w:rsidP="00B564A8">
            <w:pPr>
              <w:pStyle w:val="TAC"/>
            </w:pPr>
            <w:r>
              <w:t>24dBm</w:t>
            </w:r>
          </w:p>
        </w:tc>
        <w:tc>
          <w:tcPr>
            <w:tcW w:w="1701" w:type="dxa"/>
          </w:tcPr>
          <w:p w14:paraId="4BE34253" w14:textId="56CA2924" w:rsidR="00505CAC" w:rsidRDefault="00860195" w:rsidP="00B564A8">
            <w:pPr>
              <w:pStyle w:val="TAC"/>
            </w:pPr>
            <w:r>
              <w:t>11</w:t>
            </w:r>
            <w:r w:rsidR="00505CAC">
              <w:t>dBm/MHz</w:t>
            </w:r>
          </w:p>
        </w:tc>
        <w:tc>
          <w:tcPr>
            <w:tcW w:w="1559" w:type="dxa"/>
            <w:vMerge w:val="restart"/>
          </w:tcPr>
          <w:p w14:paraId="68743A66" w14:textId="3AB64B57" w:rsidR="00505CAC" w:rsidRDefault="00505CAC" w:rsidP="00B564A8">
            <w:pPr>
              <w:pStyle w:val="TAC"/>
            </w:pPr>
            <w:r>
              <w:t>In accordance with directive 2014/53/EC</w:t>
            </w:r>
          </w:p>
        </w:tc>
      </w:tr>
      <w:tr w:rsidR="00505CAC" w14:paraId="2DD3ED7B" w14:textId="77777777" w:rsidTr="00B564A8">
        <w:tc>
          <w:tcPr>
            <w:tcW w:w="1129" w:type="dxa"/>
            <w:vMerge/>
          </w:tcPr>
          <w:p w14:paraId="3C9D834D" w14:textId="77777777" w:rsidR="00505CAC" w:rsidRPr="00A930D3" w:rsidRDefault="00505CAC" w:rsidP="00B564A8">
            <w:pPr>
              <w:pStyle w:val="TAC"/>
            </w:pPr>
          </w:p>
        </w:tc>
        <w:tc>
          <w:tcPr>
            <w:tcW w:w="2410" w:type="dxa"/>
          </w:tcPr>
          <w:p w14:paraId="01C2E59C" w14:textId="77777777" w:rsidR="00505CAC" w:rsidRDefault="00505CAC" w:rsidP="00B564A8">
            <w:pPr>
              <w:pStyle w:val="TAC"/>
              <w:jc w:val="left"/>
            </w:pPr>
            <w:r>
              <w:t>VLP: Very low power indoor and outdoor usage.</w:t>
            </w:r>
          </w:p>
        </w:tc>
        <w:tc>
          <w:tcPr>
            <w:tcW w:w="1559" w:type="dxa"/>
            <w:vMerge/>
          </w:tcPr>
          <w:p w14:paraId="2CEF53D6" w14:textId="7EAE5184" w:rsidR="00505CAC" w:rsidRPr="00A930D3" w:rsidRDefault="00505CAC" w:rsidP="00B564A8">
            <w:pPr>
              <w:pStyle w:val="TAC"/>
            </w:pPr>
          </w:p>
        </w:tc>
        <w:tc>
          <w:tcPr>
            <w:tcW w:w="1418" w:type="dxa"/>
          </w:tcPr>
          <w:p w14:paraId="746FFB21" w14:textId="77777777" w:rsidR="00505CAC" w:rsidRDefault="00505CAC" w:rsidP="00B564A8">
            <w:pPr>
              <w:pStyle w:val="TAC"/>
            </w:pPr>
            <w:r>
              <w:t>14dBm</w:t>
            </w:r>
          </w:p>
        </w:tc>
        <w:tc>
          <w:tcPr>
            <w:tcW w:w="1701" w:type="dxa"/>
          </w:tcPr>
          <w:p w14:paraId="07020F49" w14:textId="24993F6B" w:rsidR="00505CAC" w:rsidRDefault="00505CAC" w:rsidP="00B564A8">
            <w:pPr>
              <w:pStyle w:val="TAC"/>
            </w:pPr>
          </w:p>
        </w:tc>
        <w:tc>
          <w:tcPr>
            <w:tcW w:w="1559" w:type="dxa"/>
            <w:vMerge/>
          </w:tcPr>
          <w:p w14:paraId="75112561" w14:textId="48E846A5" w:rsidR="00505CAC" w:rsidRDefault="00505CAC" w:rsidP="00B564A8">
            <w:pPr>
              <w:pStyle w:val="TAC"/>
            </w:pPr>
          </w:p>
        </w:tc>
      </w:tr>
    </w:tbl>
    <w:p w14:paraId="24A2DB38" w14:textId="77777777" w:rsidR="00531ADD" w:rsidRDefault="00531ADD"/>
    <w:sectPr w:rsidR="00531ADD"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902C1" w14:textId="77777777" w:rsidR="00523C09" w:rsidRDefault="00523C09">
      <w:r>
        <w:separator/>
      </w:r>
    </w:p>
  </w:endnote>
  <w:endnote w:type="continuationSeparator" w:id="0">
    <w:p w14:paraId="0BE756A5" w14:textId="77777777" w:rsidR="00523C09" w:rsidRDefault="00523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B49EF" w14:textId="77777777" w:rsidR="00523C09" w:rsidRDefault="00523C09">
      <w:r>
        <w:separator/>
      </w:r>
    </w:p>
  </w:footnote>
  <w:footnote w:type="continuationSeparator" w:id="0">
    <w:p w14:paraId="20BBBE0C" w14:textId="77777777" w:rsidR="00523C09" w:rsidRDefault="00523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92"/>
    <w:rsid w:val="00033397"/>
    <w:rsid w:val="00040095"/>
    <w:rsid w:val="00051834"/>
    <w:rsid w:val="00054A22"/>
    <w:rsid w:val="00062023"/>
    <w:rsid w:val="00064591"/>
    <w:rsid w:val="000655A6"/>
    <w:rsid w:val="00080512"/>
    <w:rsid w:val="00084063"/>
    <w:rsid w:val="000A2364"/>
    <w:rsid w:val="000A365D"/>
    <w:rsid w:val="000A68F3"/>
    <w:rsid w:val="000C47C3"/>
    <w:rsid w:val="000D58AB"/>
    <w:rsid w:val="00104BC6"/>
    <w:rsid w:val="001076E7"/>
    <w:rsid w:val="0011238F"/>
    <w:rsid w:val="00114E2C"/>
    <w:rsid w:val="0011527E"/>
    <w:rsid w:val="00130A82"/>
    <w:rsid w:val="00133525"/>
    <w:rsid w:val="001A4C42"/>
    <w:rsid w:val="001C21C3"/>
    <w:rsid w:val="001C7417"/>
    <w:rsid w:val="001D02C2"/>
    <w:rsid w:val="001E28B6"/>
    <w:rsid w:val="001F0C1D"/>
    <w:rsid w:val="001F1132"/>
    <w:rsid w:val="001F168B"/>
    <w:rsid w:val="002347A2"/>
    <w:rsid w:val="00247926"/>
    <w:rsid w:val="002675F0"/>
    <w:rsid w:val="00271191"/>
    <w:rsid w:val="00276891"/>
    <w:rsid w:val="00276EE4"/>
    <w:rsid w:val="00277DFB"/>
    <w:rsid w:val="00295ACA"/>
    <w:rsid w:val="002A497C"/>
    <w:rsid w:val="002B6339"/>
    <w:rsid w:val="002D28C1"/>
    <w:rsid w:val="002E00EE"/>
    <w:rsid w:val="002E0796"/>
    <w:rsid w:val="002E13ED"/>
    <w:rsid w:val="00300E70"/>
    <w:rsid w:val="003172DC"/>
    <w:rsid w:val="00322AC1"/>
    <w:rsid w:val="00336548"/>
    <w:rsid w:val="0034052F"/>
    <w:rsid w:val="0035462D"/>
    <w:rsid w:val="003765B8"/>
    <w:rsid w:val="003A0483"/>
    <w:rsid w:val="003C3971"/>
    <w:rsid w:val="003E1D99"/>
    <w:rsid w:val="003E7753"/>
    <w:rsid w:val="00414E9C"/>
    <w:rsid w:val="00423334"/>
    <w:rsid w:val="004345EC"/>
    <w:rsid w:val="004443DE"/>
    <w:rsid w:val="00447CC8"/>
    <w:rsid w:val="004826A9"/>
    <w:rsid w:val="00497C4F"/>
    <w:rsid w:val="004C1601"/>
    <w:rsid w:val="004D3578"/>
    <w:rsid w:val="004D4412"/>
    <w:rsid w:val="004E213A"/>
    <w:rsid w:val="004F0988"/>
    <w:rsid w:val="004F3340"/>
    <w:rsid w:val="004F3E3D"/>
    <w:rsid w:val="00505CAC"/>
    <w:rsid w:val="00523C09"/>
    <w:rsid w:val="0053160D"/>
    <w:rsid w:val="00531ADD"/>
    <w:rsid w:val="0053388B"/>
    <w:rsid w:val="00535773"/>
    <w:rsid w:val="00535EE2"/>
    <w:rsid w:val="00543E6C"/>
    <w:rsid w:val="00565087"/>
    <w:rsid w:val="00572E14"/>
    <w:rsid w:val="00591B63"/>
    <w:rsid w:val="005973BE"/>
    <w:rsid w:val="005A5986"/>
    <w:rsid w:val="005C25BE"/>
    <w:rsid w:val="005D2E01"/>
    <w:rsid w:val="005D7526"/>
    <w:rsid w:val="005E531E"/>
    <w:rsid w:val="005E69AE"/>
    <w:rsid w:val="005E70EC"/>
    <w:rsid w:val="00602AEA"/>
    <w:rsid w:val="00607E3C"/>
    <w:rsid w:val="00614FDF"/>
    <w:rsid w:val="006175AB"/>
    <w:rsid w:val="006246A7"/>
    <w:rsid w:val="0062595A"/>
    <w:rsid w:val="0063543D"/>
    <w:rsid w:val="00647114"/>
    <w:rsid w:val="006761D8"/>
    <w:rsid w:val="006A323F"/>
    <w:rsid w:val="006B30D0"/>
    <w:rsid w:val="006C3D95"/>
    <w:rsid w:val="006D2AB3"/>
    <w:rsid w:val="006E5C86"/>
    <w:rsid w:val="006E7B8B"/>
    <w:rsid w:val="006F343A"/>
    <w:rsid w:val="00704F6E"/>
    <w:rsid w:val="00713C44"/>
    <w:rsid w:val="00734A5B"/>
    <w:rsid w:val="0074026F"/>
    <w:rsid w:val="007429F6"/>
    <w:rsid w:val="00744E76"/>
    <w:rsid w:val="00752198"/>
    <w:rsid w:val="00753881"/>
    <w:rsid w:val="007556BB"/>
    <w:rsid w:val="00760E53"/>
    <w:rsid w:val="00774DA4"/>
    <w:rsid w:val="00776D5C"/>
    <w:rsid w:val="0077799A"/>
    <w:rsid w:val="00781F0F"/>
    <w:rsid w:val="00782C41"/>
    <w:rsid w:val="00790471"/>
    <w:rsid w:val="0079448B"/>
    <w:rsid w:val="007A00B1"/>
    <w:rsid w:val="007B600E"/>
    <w:rsid w:val="007C2E55"/>
    <w:rsid w:val="007F0F4A"/>
    <w:rsid w:val="008028A4"/>
    <w:rsid w:val="00820B25"/>
    <w:rsid w:val="00830747"/>
    <w:rsid w:val="00860195"/>
    <w:rsid w:val="008601C0"/>
    <w:rsid w:val="0087379A"/>
    <w:rsid w:val="008768CA"/>
    <w:rsid w:val="008A3B4F"/>
    <w:rsid w:val="008C384C"/>
    <w:rsid w:val="008D21DB"/>
    <w:rsid w:val="008E7986"/>
    <w:rsid w:val="008F3E3E"/>
    <w:rsid w:val="0090271F"/>
    <w:rsid w:val="00902E23"/>
    <w:rsid w:val="009114D7"/>
    <w:rsid w:val="0091348E"/>
    <w:rsid w:val="00917CCB"/>
    <w:rsid w:val="00921CC6"/>
    <w:rsid w:val="0092797D"/>
    <w:rsid w:val="00932322"/>
    <w:rsid w:val="00942EC2"/>
    <w:rsid w:val="009A582B"/>
    <w:rsid w:val="009F37B7"/>
    <w:rsid w:val="009F5E43"/>
    <w:rsid w:val="00A10F02"/>
    <w:rsid w:val="00A164B4"/>
    <w:rsid w:val="00A26956"/>
    <w:rsid w:val="00A53724"/>
    <w:rsid w:val="00A63B6C"/>
    <w:rsid w:val="00A73129"/>
    <w:rsid w:val="00A82346"/>
    <w:rsid w:val="00A92BA1"/>
    <w:rsid w:val="00AC6BC6"/>
    <w:rsid w:val="00AE3797"/>
    <w:rsid w:val="00B15449"/>
    <w:rsid w:val="00B21DA1"/>
    <w:rsid w:val="00B4625D"/>
    <w:rsid w:val="00B51BD2"/>
    <w:rsid w:val="00B5599E"/>
    <w:rsid w:val="00B55E0F"/>
    <w:rsid w:val="00B67EB3"/>
    <w:rsid w:val="00B87290"/>
    <w:rsid w:val="00B93086"/>
    <w:rsid w:val="00BA19ED"/>
    <w:rsid w:val="00BA300B"/>
    <w:rsid w:val="00BA4B8D"/>
    <w:rsid w:val="00BB7C4B"/>
    <w:rsid w:val="00BC0F7D"/>
    <w:rsid w:val="00BD797B"/>
    <w:rsid w:val="00BE3255"/>
    <w:rsid w:val="00BF128E"/>
    <w:rsid w:val="00C1496A"/>
    <w:rsid w:val="00C27E2F"/>
    <w:rsid w:val="00C33079"/>
    <w:rsid w:val="00C45231"/>
    <w:rsid w:val="00C566D8"/>
    <w:rsid w:val="00C72833"/>
    <w:rsid w:val="00C80F1D"/>
    <w:rsid w:val="00C83892"/>
    <w:rsid w:val="00C93F40"/>
    <w:rsid w:val="00CA3D0C"/>
    <w:rsid w:val="00CB1CAB"/>
    <w:rsid w:val="00CD5E72"/>
    <w:rsid w:val="00CF20E3"/>
    <w:rsid w:val="00D06B9B"/>
    <w:rsid w:val="00D309CC"/>
    <w:rsid w:val="00D36ED8"/>
    <w:rsid w:val="00D46431"/>
    <w:rsid w:val="00D56A52"/>
    <w:rsid w:val="00D57972"/>
    <w:rsid w:val="00D675A9"/>
    <w:rsid w:val="00D738D6"/>
    <w:rsid w:val="00D755EB"/>
    <w:rsid w:val="00D87E00"/>
    <w:rsid w:val="00D90D08"/>
    <w:rsid w:val="00D9134D"/>
    <w:rsid w:val="00D93B95"/>
    <w:rsid w:val="00D94A4B"/>
    <w:rsid w:val="00DA0655"/>
    <w:rsid w:val="00DA7A03"/>
    <w:rsid w:val="00DB1818"/>
    <w:rsid w:val="00DC309B"/>
    <w:rsid w:val="00DC4DA2"/>
    <w:rsid w:val="00DD4C17"/>
    <w:rsid w:val="00DF2B1F"/>
    <w:rsid w:val="00DF6189"/>
    <w:rsid w:val="00DF62CD"/>
    <w:rsid w:val="00E16509"/>
    <w:rsid w:val="00E44582"/>
    <w:rsid w:val="00E52814"/>
    <w:rsid w:val="00E56EBB"/>
    <w:rsid w:val="00E72324"/>
    <w:rsid w:val="00E72ABE"/>
    <w:rsid w:val="00E77645"/>
    <w:rsid w:val="00E8614A"/>
    <w:rsid w:val="00EA5EAF"/>
    <w:rsid w:val="00EA606C"/>
    <w:rsid w:val="00EC4A25"/>
    <w:rsid w:val="00ED584A"/>
    <w:rsid w:val="00EE5AA7"/>
    <w:rsid w:val="00F025A2"/>
    <w:rsid w:val="00F04712"/>
    <w:rsid w:val="00F21311"/>
    <w:rsid w:val="00F22EC7"/>
    <w:rsid w:val="00F325C8"/>
    <w:rsid w:val="00F3779F"/>
    <w:rsid w:val="00F400BD"/>
    <w:rsid w:val="00F55949"/>
    <w:rsid w:val="00F62AEB"/>
    <w:rsid w:val="00F653B8"/>
    <w:rsid w:val="00F70647"/>
    <w:rsid w:val="00FA1266"/>
    <w:rsid w:val="00FC1192"/>
    <w:rsid w:val="00FD5B56"/>
    <w:rsid w:val="00FE72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TotalTime>
  <Pages>6</Pages>
  <Words>1884</Words>
  <Characters>10157</Characters>
  <Application>Microsoft Office Word</Application>
  <DocSecurity>0</DocSecurity>
  <Lines>390</Lines>
  <Paragraphs>160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25</cp:revision>
  <cp:lastPrinted>2019-02-25T14:05:00Z</cp:lastPrinted>
  <dcterms:created xsi:type="dcterms:W3CDTF">2021-05-04T11:41:00Z</dcterms:created>
  <dcterms:modified xsi:type="dcterms:W3CDTF">2021-05-11T20:49:00Z</dcterms:modified>
  <cp:category/>
</cp:coreProperties>
</file>